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6" w:rsidRPr="00910636" w:rsidRDefault="00910636" w:rsidP="00910636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b/>
          <w:sz w:val="40"/>
          <w:szCs w:val="40"/>
        </w:rPr>
      </w:pPr>
      <w:r w:rsidRPr="00910636">
        <w:rPr>
          <w:rFonts w:cs="Arial"/>
          <w:b/>
          <w:sz w:val="40"/>
          <w:szCs w:val="40"/>
        </w:rPr>
        <w:t>Fetal growth surveillance pathways</w:t>
      </w:r>
    </w:p>
    <w:p w:rsidR="00910636" w:rsidRPr="006658E8" w:rsidRDefault="00910636" w:rsidP="006658E8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b/>
          <w:sz w:val="40"/>
          <w:szCs w:val="40"/>
        </w:rPr>
      </w:pPr>
      <w:r w:rsidRPr="006658E8">
        <w:rPr>
          <w:rFonts w:cs="Arial"/>
          <w:b/>
          <w:sz w:val="40"/>
          <w:szCs w:val="40"/>
        </w:rPr>
        <w:t>Risk assessment for fetal growth restriction</w:t>
      </w:r>
    </w:p>
    <w:p w:rsidR="00537943" w:rsidRDefault="00910636" w:rsidP="00910636">
      <w:pPr>
        <w:spacing w:after="300"/>
        <w:contextualSpacing/>
        <w:jc w:val="center"/>
        <w:rPr>
          <w:rFonts w:eastAsia="Calibri" w:cs="Arial"/>
          <w:b/>
          <w:noProof/>
          <w:spacing w:val="5"/>
          <w:kern w:val="28"/>
          <w:sz w:val="40"/>
          <w:szCs w:val="40"/>
          <w:lang w:val="en-GB" w:eastAsia="en-GB"/>
        </w:rPr>
      </w:pPr>
      <w:r w:rsidRPr="00910636">
        <w:rPr>
          <w:rFonts w:eastAsia="Calibri" w:cs="Arial"/>
          <w:b/>
          <w:noProof/>
          <w:spacing w:val="5"/>
          <w:kern w:val="28"/>
          <w:sz w:val="40"/>
          <w:szCs w:val="40"/>
          <w:lang w:val="en-GB" w:eastAsia="en-GB"/>
        </w:rPr>
        <w:t>Management of the small for gestational age fetus</w:t>
      </w:r>
    </w:p>
    <w:p w:rsidR="00EF5869" w:rsidRDefault="00EF5869" w:rsidP="00910636">
      <w:pPr>
        <w:spacing w:after="300"/>
        <w:contextualSpacing/>
        <w:jc w:val="center"/>
        <w:rPr>
          <w:rFonts w:eastAsia="Calibri" w:cs="Arial"/>
          <w:b/>
          <w:noProof/>
          <w:spacing w:val="5"/>
          <w:kern w:val="28"/>
          <w:sz w:val="40"/>
          <w:szCs w:val="40"/>
          <w:lang w:val="en-GB" w:eastAsia="en-GB"/>
        </w:rPr>
      </w:pPr>
    </w:p>
    <w:p w:rsidR="00EF5869" w:rsidRDefault="00EF5869" w:rsidP="00910636">
      <w:pPr>
        <w:spacing w:after="300"/>
        <w:contextualSpacing/>
        <w:jc w:val="center"/>
        <w:rPr>
          <w:rFonts w:eastAsia="Calibri" w:cs="Arial"/>
          <w:b/>
          <w:noProof/>
          <w:spacing w:val="5"/>
          <w:kern w:val="28"/>
          <w:sz w:val="40"/>
          <w:szCs w:val="40"/>
          <w:lang w:val="en-GB" w:eastAsia="en-GB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4776"/>
        <w:gridCol w:w="5347"/>
      </w:tblGrid>
      <w:tr w:rsidR="00EF5869" w:rsidTr="00EF5869">
        <w:trPr>
          <w:trHeight w:val="295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Speciality</w:t>
            </w:r>
            <w:proofErr w:type="spellEnd"/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Maternity Neonatal, Women’s Health</w:t>
            </w:r>
          </w:p>
        </w:tc>
      </w:tr>
      <w:tr w:rsidR="00EF5869" w:rsidTr="00EF5869">
        <w:trPr>
          <w:trHeight w:val="295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bCs/>
                <w:color w:val="333333"/>
                <w:szCs w:val="22"/>
              </w:rPr>
            </w:pPr>
            <w:r>
              <w:rPr>
                <w:rFonts w:cs="Arial"/>
                <w:b/>
                <w:szCs w:val="22"/>
              </w:rPr>
              <w:t>Type of document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szCs w:val="22"/>
              </w:rPr>
              <w:t>Clinical Guideline (should do)</w:t>
            </w:r>
          </w:p>
        </w:tc>
      </w:tr>
      <w:tr w:rsidR="00EF5869" w:rsidTr="00EF5869">
        <w:trPr>
          <w:trHeight w:val="199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written and version number</w:t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Feb 2021 V 1.2</w:t>
            </w:r>
          </w:p>
        </w:tc>
      </w:tr>
      <w:tr w:rsidR="00EF5869" w:rsidTr="00EF5869">
        <w:trPr>
          <w:trHeight w:val="260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passed by Maternity Guidelines Group</w:t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March 2021</w:t>
            </w:r>
          </w:p>
        </w:tc>
      </w:tr>
      <w:tr w:rsidR="00EF5869" w:rsidTr="00EF5869">
        <w:trPr>
          <w:trHeight w:val="279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color w:val="333333"/>
                <w:szCs w:val="22"/>
              </w:rPr>
            </w:pPr>
            <w:r>
              <w:rPr>
                <w:rFonts w:cs="Arial"/>
                <w:b/>
                <w:color w:val="333333"/>
                <w:szCs w:val="22"/>
              </w:rPr>
              <w:t>Date of CMB Directorate ratification</w:t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color w:val="333333"/>
                <w:szCs w:val="22"/>
              </w:rPr>
            </w:pPr>
            <w:r>
              <w:rPr>
                <w:rFonts w:cs="Arial"/>
                <w:color w:val="333333"/>
                <w:szCs w:val="22"/>
              </w:rPr>
              <w:t>March 2021</w:t>
            </w:r>
          </w:p>
        </w:tc>
      </w:tr>
      <w:tr w:rsidR="00EF5869" w:rsidTr="00EF5869">
        <w:trPr>
          <w:trHeight w:val="254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color w:val="333333"/>
                <w:szCs w:val="22"/>
              </w:rPr>
            </w:pPr>
            <w:r>
              <w:rPr>
                <w:rFonts w:cs="Arial"/>
                <w:b/>
                <w:color w:val="333333"/>
                <w:szCs w:val="22"/>
              </w:rPr>
              <w:t xml:space="preserve">Date on to </w:t>
            </w:r>
            <w:proofErr w:type="spellStart"/>
            <w:r>
              <w:rPr>
                <w:rFonts w:cs="Arial"/>
                <w:b/>
                <w:color w:val="333333"/>
                <w:szCs w:val="22"/>
              </w:rPr>
              <w:t>Microguide</w:t>
            </w:r>
            <w:proofErr w:type="spellEnd"/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color w:val="333333"/>
                <w:szCs w:val="22"/>
              </w:rPr>
            </w:pPr>
          </w:p>
        </w:tc>
      </w:tr>
      <w:tr w:rsidR="00EF5869" w:rsidTr="00EF5869">
        <w:trPr>
          <w:trHeight w:val="273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color w:val="333333"/>
                <w:szCs w:val="22"/>
              </w:rPr>
            </w:pPr>
            <w:r>
              <w:rPr>
                <w:rFonts w:cs="Arial"/>
                <w:b/>
                <w:color w:val="333333"/>
                <w:szCs w:val="22"/>
              </w:rPr>
              <w:t>Date of expiry</w:t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color w:val="333333"/>
                <w:szCs w:val="22"/>
              </w:rPr>
            </w:pPr>
            <w:r>
              <w:rPr>
                <w:rFonts w:cs="Arial"/>
                <w:color w:val="333333"/>
                <w:szCs w:val="22"/>
              </w:rPr>
              <w:t>March 2024</w:t>
            </w:r>
          </w:p>
        </w:tc>
      </w:tr>
      <w:tr w:rsidR="00EF5869" w:rsidTr="00EF5869">
        <w:trPr>
          <w:trHeight w:val="273"/>
        </w:trPr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5869" w:rsidRDefault="00EF5869">
            <w:pPr>
              <w:spacing w:before="0" w:after="0"/>
              <w:rPr>
                <w:rFonts w:cs="Arial"/>
                <w:b/>
                <w:color w:val="333333"/>
                <w:szCs w:val="22"/>
              </w:rPr>
            </w:pPr>
            <w:r>
              <w:rPr>
                <w:rFonts w:cs="Arial"/>
                <w:b/>
                <w:color w:val="333333"/>
                <w:szCs w:val="22"/>
              </w:rPr>
              <w:t>Authors</w:t>
            </w:r>
          </w:p>
        </w:tc>
        <w:tc>
          <w:tcPr>
            <w:tcW w:w="2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5869" w:rsidRDefault="00EF5869">
            <w:pPr>
              <w:spacing w:before="0" w:after="0"/>
              <w:rPr>
                <w:rFonts w:cs="Arial"/>
                <w:color w:val="333333"/>
                <w:szCs w:val="22"/>
              </w:rPr>
            </w:pPr>
            <w:r>
              <w:rPr>
                <w:rFonts w:cs="Arial"/>
                <w:color w:val="333333"/>
                <w:szCs w:val="22"/>
              </w:rPr>
              <w:t xml:space="preserve">S </w:t>
            </w:r>
            <w:proofErr w:type="spellStart"/>
            <w:r>
              <w:rPr>
                <w:rFonts w:cs="Arial"/>
                <w:color w:val="333333"/>
                <w:szCs w:val="22"/>
              </w:rPr>
              <w:t>Verdin</w:t>
            </w:r>
            <w:proofErr w:type="spellEnd"/>
            <w:r>
              <w:rPr>
                <w:rFonts w:cs="Arial"/>
                <w:color w:val="333333"/>
                <w:szCs w:val="22"/>
              </w:rPr>
              <w:t>, H Rickard,  A Kingston, A Hawkins</w:t>
            </w:r>
          </w:p>
        </w:tc>
      </w:tr>
    </w:tbl>
    <w:p w:rsidR="00537943" w:rsidRPr="00910636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  <w:shd w:val="solid" w:color="auto" w:fill="auto"/>
        </w:rPr>
      </w:pPr>
      <w:bookmarkStart w:id="0" w:name="_GoBack"/>
      <w:bookmarkEnd w:id="0"/>
      <w:r w:rsidRPr="00910636">
        <w:rPr>
          <w:rFonts w:cs="Arial"/>
          <w:i w:val="0"/>
          <w:sz w:val="24"/>
          <w:szCs w:val="24"/>
          <w:shd w:val="solid" w:color="auto" w:fill="auto"/>
        </w:rPr>
        <w:t>.   Quick Reference Guide</w:t>
      </w:r>
    </w:p>
    <w:p w:rsidR="00537943" w:rsidRPr="00910636" w:rsidRDefault="000A6B4A" w:rsidP="004D2B00">
      <w:pPr>
        <w:pStyle w:val="Title"/>
        <w:jc w:val="left"/>
        <w:rPr>
          <w:rFonts w:cs="Arial"/>
          <w:b w:val="0"/>
          <w:sz w:val="24"/>
          <w:szCs w:val="24"/>
        </w:rPr>
      </w:pPr>
      <w:r w:rsidRPr="00910636">
        <w:rPr>
          <w:rFonts w:cs="Arial"/>
          <w:b w:val="0"/>
          <w:sz w:val="24"/>
          <w:szCs w:val="24"/>
        </w:rPr>
        <w:t>For example:</w:t>
      </w:r>
    </w:p>
    <w:p w:rsidR="000A6B4A" w:rsidRPr="00910636" w:rsidRDefault="00CB0712" w:rsidP="004D2B00">
      <w:pPr>
        <w:pStyle w:val="Title"/>
        <w:jc w:val="left"/>
        <w:rPr>
          <w:rFonts w:cs="Arial"/>
          <w:b w:val="0"/>
          <w:sz w:val="24"/>
          <w:szCs w:val="24"/>
        </w:rPr>
      </w:pPr>
      <w:hyperlink r:id="rId10" w:anchor="content,0246bdf4-1d44-48b6-a1e7-4d4cbaa6d8ed" w:history="1">
        <w:r w:rsidR="004D2B00" w:rsidRPr="00910636">
          <w:rPr>
            <w:rStyle w:val="Hyperlink"/>
            <w:rFonts w:cs="Arial"/>
            <w:b w:val="0"/>
            <w:sz w:val="24"/>
            <w:szCs w:val="24"/>
          </w:rPr>
          <w:t>https://viewer.microguide.global/guide/1000000295#content,0246bdf4-1d44-48b6-a1e7-4d4cbaa6d8ed</w:t>
        </w:r>
      </w:hyperlink>
    </w:p>
    <w:p w:rsidR="00537943" w:rsidRPr="00910636" w:rsidRDefault="00651734" w:rsidP="004D2B00">
      <w:pPr>
        <w:pStyle w:val="Title"/>
        <w:jc w:val="left"/>
        <w:rPr>
          <w:rFonts w:cs="Arial"/>
          <w:b w:val="0"/>
          <w:sz w:val="24"/>
          <w:szCs w:val="24"/>
        </w:rPr>
      </w:pPr>
      <w:r w:rsidRPr="00910636">
        <w:rPr>
          <w:rFonts w:cs="Arial"/>
          <w:b w:val="0"/>
          <w:sz w:val="24"/>
          <w:szCs w:val="24"/>
        </w:rPr>
        <w:t>The link refers the reader to a completed policy example to assist completion</w:t>
      </w:r>
    </w:p>
    <w:p w:rsidR="00CA21F3" w:rsidRPr="00910636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  <w:shd w:val="solid" w:color="auto" w:fill="auto"/>
        </w:rPr>
      </w:pPr>
      <w:r w:rsidRPr="00910636">
        <w:rPr>
          <w:rFonts w:cs="Arial"/>
          <w:i w:val="0"/>
          <w:sz w:val="24"/>
          <w:szCs w:val="24"/>
          <w:shd w:val="solid" w:color="auto" w:fill="auto"/>
        </w:rPr>
        <w:t>2</w:t>
      </w:r>
      <w:r w:rsidR="00CA21F3" w:rsidRPr="00910636">
        <w:rPr>
          <w:rFonts w:cs="Arial"/>
          <w:i w:val="0"/>
          <w:sz w:val="24"/>
          <w:szCs w:val="24"/>
          <w:shd w:val="solid" w:color="auto" w:fill="auto"/>
        </w:rPr>
        <w:t>.   Indications</w:t>
      </w:r>
    </w:p>
    <w:p w:rsidR="00537943" w:rsidRPr="00910636" w:rsidRDefault="00537943" w:rsidP="004D2B00">
      <w:pPr>
        <w:rPr>
          <w:rFonts w:cs="Arial"/>
          <w:sz w:val="24"/>
          <w:szCs w:val="24"/>
        </w:rPr>
      </w:pPr>
    </w:p>
    <w:p w:rsidR="005C77E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2</w:t>
      </w:r>
      <w:r w:rsidR="00CA21F3" w:rsidRPr="00910636">
        <w:rPr>
          <w:rFonts w:cs="Arial"/>
          <w:b/>
          <w:sz w:val="24"/>
          <w:szCs w:val="24"/>
        </w:rPr>
        <w:t>.1 Background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SGA </w:t>
      </w:r>
      <w:proofErr w:type="spellStart"/>
      <w:r w:rsidRPr="00910636">
        <w:rPr>
          <w:rFonts w:cstheme="minorBidi"/>
          <w:szCs w:val="22"/>
          <w:lang w:val="en-GB"/>
        </w:rPr>
        <w:t>fetuses</w:t>
      </w:r>
      <w:proofErr w:type="spellEnd"/>
      <w:r w:rsidRPr="00910636">
        <w:rPr>
          <w:rFonts w:cstheme="minorBidi"/>
          <w:szCs w:val="22"/>
          <w:lang w:val="en-GB"/>
        </w:rPr>
        <w:t xml:space="preserve"> are at greater risk of stillbirth, intrapartum hypoxia, neonatal complications, impaired neurodevelopment and possibly diabetes and hypertension in adult life.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An SGA </w:t>
      </w:r>
      <w:proofErr w:type="spellStart"/>
      <w:r w:rsidRPr="00910636">
        <w:rPr>
          <w:rFonts w:cstheme="minorBidi"/>
          <w:szCs w:val="22"/>
          <w:lang w:val="en-GB"/>
        </w:rPr>
        <w:t>fetus</w:t>
      </w:r>
      <w:proofErr w:type="spellEnd"/>
      <w:r w:rsidRPr="00910636">
        <w:rPr>
          <w:rFonts w:cstheme="minorBidi"/>
          <w:szCs w:val="22"/>
          <w:lang w:val="en-GB"/>
        </w:rPr>
        <w:t xml:space="preserve"> or baby may be constitutionally small; i.e. have reached their growth potential and </w:t>
      </w:r>
      <w:r>
        <w:rPr>
          <w:rFonts w:cstheme="minorBidi"/>
          <w:szCs w:val="22"/>
          <w:lang w:val="en-GB"/>
        </w:rPr>
        <w:t xml:space="preserve">be </w:t>
      </w:r>
      <w:r w:rsidRPr="00910636">
        <w:rPr>
          <w:rFonts w:cstheme="minorBidi"/>
          <w:szCs w:val="22"/>
          <w:lang w:val="en-GB"/>
        </w:rPr>
        <w:t>‘normal’. However, there may be other underlying causes including placental insufficiency, chromosomal and other genetic abnormality, congenital infection and maternal disease.</w:t>
      </w:r>
    </w:p>
    <w:p w:rsidR="005C77E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2</w:t>
      </w:r>
      <w:r w:rsidR="00CA21F3" w:rsidRPr="00910636">
        <w:rPr>
          <w:rFonts w:cs="Arial"/>
          <w:b/>
          <w:sz w:val="24"/>
          <w:szCs w:val="24"/>
        </w:rPr>
        <w:t>.2 Aim/purpose</w:t>
      </w:r>
    </w:p>
    <w:p w:rsidR="005C77E3" w:rsidRPr="00910636" w:rsidRDefault="00910636" w:rsidP="004D2B00">
      <w:pPr>
        <w:rPr>
          <w:rFonts w:cs="Arial"/>
          <w:sz w:val="24"/>
          <w:szCs w:val="24"/>
        </w:rPr>
      </w:pPr>
      <w:r w:rsidRPr="00910636">
        <w:rPr>
          <w:rFonts w:cs="Arial"/>
          <w:sz w:val="24"/>
          <w:szCs w:val="24"/>
        </w:rPr>
        <w:t>To identify the FGR fetus</w:t>
      </w:r>
      <w:r>
        <w:rPr>
          <w:rFonts w:cs="Arial"/>
          <w:sz w:val="24"/>
          <w:szCs w:val="24"/>
        </w:rPr>
        <w:t xml:space="preserve"> and provide optimum care, so reducing the perinatal </w:t>
      </w:r>
      <w:proofErr w:type="spellStart"/>
      <w:r>
        <w:rPr>
          <w:rFonts w:cs="Arial"/>
          <w:sz w:val="24"/>
          <w:szCs w:val="24"/>
        </w:rPr>
        <w:t>mobidity</w:t>
      </w:r>
      <w:proofErr w:type="spellEnd"/>
      <w:r>
        <w:rPr>
          <w:rFonts w:cs="Arial"/>
          <w:sz w:val="24"/>
          <w:szCs w:val="24"/>
        </w:rPr>
        <w:t xml:space="preserve"> and mortality rates.</w:t>
      </w:r>
    </w:p>
    <w:p w:rsidR="00CA21F3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2</w:t>
      </w:r>
      <w:r w:rsidR="00CA21F3" w:rsidRPr="00910636">
        <w:rPr>
          <w:rFonts w:cs="Arial"/>
          <w:b/>
          <w:sz w:val="24"/>
          <w:szCs w:val="24"/>
        </w:rPr>
        <w:t>.3 Patient/client group</w:t>
      </w:r>
    </w:p>
    <w:p w:rsidR="00910636" w:rsidRPr="00910636" w:rsidRDefault="00910636" w:rsidP="004D2B00">
      <w:pPr>
        <w:rPr>
          <w:rFonts w:cs="Arial"/>
          <w:sz w:val="24"/>
          <w:szCs w:val="24"/>
        </w:rPr>
      </w:pPr>
      <w:r w:rsidRPr="00910636">
        <w:rPr>
          <w:rFonts w:cs="Arial"/>
          <w:sz w:val="24"/>
          <w:szCs w:val="24"/>
        </w:rPr>
        <w:t>All women booked for pregnancy care at SFT</w:t>
      </w:r>
    </w:p>
    <w:p w:rsidR="00CA21F3" w:rsidRPr="00910636" w:rsidRDefault="00537943" w:rsidP="004D2B00">
      <w:pPr>
        <w:rPr>
          <w:rFonts w:cs="Arial"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2.</w:t>
      </w:r>
      <w:r w:rsidR="00CA21F3" w:rsidRPr="00910636">
        <w:rPr>
          <w:rFonts w:cs="Arial"/>
          <w:b/>
          <w:sz w:val="24"/>
          <w:szCs w:val="24"/>
        </w:rPr>
        <w:t>4 Exceptions/ contraindications</w:t>
      </w:r>
      <w:r w:rsidR="00B661CE" w:rsidRPr="00910636">
        <w:rPr>
          <w:rFonts w:cs="Arial"/>
          <w:b/>
          <w:sz w:val="24"/>
          <w:szCs w:val="24"/>
        </w:rPr>
        <w:t xml:space="preserve"> </w:t>
      </w:r>
      <w:proofErr w:type="gramStart"/>
      <w:r w:rsidR="00910636">
        <w:rPr>
          <w:rFonts w:cs="Arial"/>
          <w:sz w:val="24"/>
          <w:szCs w:val="24"/>
        </w:rPr>
        <w:t>None</w:t>
      </w:r>
      <w:proofErr w:type="gramEnd"/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2</w:t>
      </w:r>
      <w:r w:rsidR="00CA21F3" w:rsidRPr="00910636">
        <w:rPr>
          <w:rFonts w:cs="Arial"/>
          <w:b/>
          <w:sz w:val="24"/>
          <w:szCs w:val="24"/>
        </w:rPr>
        <w:t>.5</w:t>
      </w:r>
      <w:r w:rsidR="00D743E5" w:rsidRPr="00910636">
        <w:rPr>
          <w:rFonts w:cs="Arial"/>
          <w:b/>
          <w:sz w:val="24"/>
          <w:szCs w:val="24"/>
        </w:rPr>
        <w:t xml:space="preserve"> </w:t>
      </w:r>
      <w:r w:rsidR="00CA21F3" w:rsidRPr="00910636">
        <w:rPr>
          <w:rFonts w:cs="Arial"/>
          <w:b/>
          <w:sz w:val="24"/>
          <w:szCs w:val="24"/>
        </w:rPr>
        <w:t>Options</w:t>
      </w:r>
    </w:p>
    <w:p w:rsidR="005C77E3" w:rsidRPr="00910636" w:rsidRDefault="005C77E3" w:rsidP="004D2B00">
      <w:pPr>
        <w:rPr>
          <w:rFonts w:cs="Arial"/>
          <w:b/>
          <w:sz w:val="24"/>
          <w:szCs w:val="24"/>
        </w:rPr>
      </w:pPr>
    </w:p>
    <w:p w:rsidR="009B2C14" w:rsidRDefault="00537943" w:rsidP="004D2B00">
      <w:pPr>
        <w:ind w:right="56"/>
        <w:rPr>
          <w:rFonts w:eastAsia="Verdana" w:cs="Arial"/>
          <w:b/>
          <w:bCs/>
          <w:spacing w:val="1"/>
          <w:sz w:val="24"/>
          <w:szCs w:val="24"/>
        </w:rPr>
      </w:pPr>
      <w:r w:rsidRPr="00910636">
        <w:rPr>
          <w:rFonts w:eastAsia="Verdana" w:cs="Arial"/>
          <w:b/>
          <w:bCs/>
          <w:spacing w:val="1"/>
          <w:sz w:val="24"/>
          <w:szCs w:val="24"/>
        </w:rPr>
        <w:t>2</w:t>
      </w:r>
      <w:r w:rsidR="005C77E3" w:rsidRPr="00910636">
        <w:rPr>
          <w:rFonts w:eastAsia="Verdana" w:cs="Arial"/>
          <w:b/>
          <w:bCs/>
          <w:spacing w:val="1"/>
          <w:sz w:val="24"/>
          <w:szCs w:val="24"/>
        </w:rPr>
        <w:t xml:space="preserve">.6 </w:t>
      </w:r>
      <w:r w:rsidR="009B2C14" w:rsidRPr="00910636">
        <w:rPr>
          <w:rFonts w:eastAsia="Verdana" w:cs="Arial"/>
          <w:b/>
          <w:bCs/>
          <w:spacing w:val="1"/>
          <w:sz w:val="24"/>
          <w:szCs w:val="24"/>
        </w:rPr>
        <w:t>Definitions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There are no universally accepted definitions for FGR.</w:t>
      </w:r>
    </w:p>
    <w:p w:rsidR="00910636" w:rsidRPr="00910636" w:rsidRDefault="00910636" w:rsidP="00910636">
      <w:pPr>
        <w:spacing w:line="276" w:lineRule="auto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For the purposes of this guideline, birthweight, </w:t>
      </w:r>
      <w:r>
        <w:rPr>
          <w:rFonts w:cstheme="minorBidi"/>
          <w:color w:val="000000"/>
          <w:szCs w:val="22"/>
          <w:lang w:val="en-GB" w:eastAsia="en-GB"/>
        </w:rPr>
        <w:t>u</w:t>
      </w:r>
      <w:r w:rsidRPr="00910636">
        <w:rPr>
          <w:rFonts w:cstheme="minorBidi"/>
          <w:color w:val="000000"/>
          <w:szCs w:val="22"/>
          <w:lang w:val="en-GB" w:eastAsia="en-GB"/>
        </w:rPr>
        <w:t>ltrasound Estimated Fetal Weight (EFW) or Abdominal Circumference (AC) &lt; 10</w:t>
      </w:r>
      <w:r w:rsidRPr="00910636">
        <w:rPr>
          <w:rFonts w:cstheme="minorBidi"/>
          <w:color w:val="000000"/>
          <w:szCs w:val="22"/>
          <w:vertAlign w:val="superscript"/>
          <w:lang w:val="en-GB" w:eastAsia="en-GB"/>
        </w:rPr>
        <w:t>th</w:t>
      </w:r>
      <w:r w:rsidRPr="00910636">
        <w:rPr>
          <w:rFonts w:cstheme="minorBidi"/>
          <w:color w:val="000000"/>
          <w:szCs w:val="22"/>
          <w:lang w:val="en-GB" w:eastAsia="en-GB"/>
        </w:rPr>
        <w:t xml:space="preserve"> centile are used.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lastRenderedPageBreak/>
        <w:t xml:space="preserve">The term </w:t>
      </w:r>
      <w:r w:rsidRPr="00910636">
        <w:rPr>
          <w:rFonts w:cstheme="minorBidi"/>
          <w:szCs w:val="22"/>
          <w:u w:val="single"/>
          <w:lang w:val="en-GB"/>
        </w:rPr>
        <w:t>does not</w:t>
      </w:r>
      <w:r w:rsidRPr="00910636">
        <w:rPr>
          <w:rFonts w:cstheme="minorBidi"/>
          <w:szCs w:val="22"/>
          <w:lang w:val="en-GB"/>
        </w:rPr>
        <w:t xml:space="preserve"> distinguish between those who have fetal growth restriction (FGR) i.e. those who have failed to reach their growth potential and those who are constitutionally small.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Not all </w:t>
      </w:r>
      <w:proofErr w:type="spellStart"/>
      <w:r w:rsidRPr="00910636">
        <w:rPr>
          <w:rFonts w:cstheme="minorBidi"/>
          <w:szCs w:val="22"/>
          <w:lang w:val="en-GB"/>
        </w:rPr>
        <w:t>fetuses</w:t>
      </w:r>
      <w:proofErr w:type="spellEnd"/>
      <w:r w:rsidRPr="00910636">
        <w:rPr>
          <w:rFonts w:cstheme="minorBidi"/>
          <w:szCs w:val="22"/>
          <w:lang w:val="en-GB"/>
        </w:rPr>
        <w:t xml:space="preserve"> with FGR will be SGA.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The definitions recommended with the </w:t>
      </w:r>
      <w:proofErr w:type="gramStart"/>
      <w:r w:rsidRPr="00910636">
        <w:rPr>
          <w:rFonts w:cstheme="minorBidi"/>
          <w:szCs w:val="22"/>
          <w:lang w:val="en-GB"/>
        </w:rPr>
        <w:t>Saving</w:t>
      </w:r>
      <w:proofErr w:type="gramEnd"/>
      <w:r w:rsidRPr="00910636">
        <w:rPr>
          <w:rFonts w:cstheme="minorBidi"/>
          <w:szCs w:val="22"/>
          <w:lang w:val="en-GB"/>
        </w:rPr>
        <w:t xml:space="preserve"> babies Lives Care bundle V2 are as below:</w:t>
      </w:r>
    </w:p>
    <w:p w:rsidR="00910636" w:rsidRPr="00910636" w:rsidRDefault="00910636" w:rsidP="00910636">
      <w:pPr>
        <w:spacing w:line="276" w:lineRule="auto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b/>
          <w:bCs/>
          <w:color w:val="000000"/>
          <w:szCs w:val="22"/>
          <w:lang w:val="en-GB" w:eastAsia="en-GB"/>
        </w:rPr>
        <w:t xml:space="preserve">Definition of FGR in a previous pregnancy as a risk factor: </w:t>
      </w:r>
      <w:r w:rsidRPr="00910636">
        <w:rPr>
          <w:rFonts w:cstheme="minorBidi"/>
          <w:color w:val="000000"/>
          <w:szCs w:val="22"/>
          <w:lang w:val="en-GB" w:eastAsia="en-GB"/>
        </w:rPr>
        <w:t xml:space="preserve">defined as any of the following: </w:t>
      </w:r>
    </w:p>
    <w:p w:rsidR="00910636" w:rsidRPr="00910636" w:rsidRDefault="00910636" w:rsidP="00910636">
      <w:pPr>
        <w:spacing w:line="276" w:lineRule="auto"/>
        <w:ind w:left="720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• </w:t>
      </w:r>
      <w:proofErr w:type="gramStart"/>
      <w:r w:rsidRPr="00910636">
        <w:rPr>
          <w:rFonts w:cstheme="minorBidi"/>
          <w:color w:val="000000"/>
          <w:szCs w:val="22"/>
          <w:lang w:val="en-GB" w:eastAsia="en-GB"/>
        </w:rPr>
        <w:t>birthweight</w:t>
      </w:r>
      <w:proofErr w:type="gramEnd"/>
      <w:r w:rsidRPr="00910636">
        <w:rPr>
          <w:rFonts w:cstheme="minorBidi"/>
          <w:color w:val="000000"/>
          <w:szCs w:val="22"/>
          <w:lang w:val="en-GB" w:eastAsia="en-GB"/>
        </w:rPr>
        <w:t xml:space="preserve"> &lt;3rd centile </w:t>
      </w:r>
    </w:p>
    <w:p w:rsidR="00910636" w:rsidRPr="00910636" w:rsidRDefault="00910636" w:rsidP="00910636">
      <w:pPr>
        <w:spacing w:line="276" w:lineRule="auto"/>
        <w:ind w:left="720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• </w:t>
      </w:r>
      <w:proofErr w:type="gramStart"/>
      <w:r w:rsidRPr="00910636">
        <w:rPr>
          <w:rFonts w:cstheme="minorBidi"/>
          <w:color w:val="000000"/>
          <w:szCs w:val="22"/>
          <w:lang w:val="en-GB" w:eastAsia="en-GB"/>
        </w:rPr>
        <w:t>early</w:t>
      </w:r>
      <w:proofErr w:type="gramEnd"/>
      <w:r w:rsidRPr="00910636">
        <w:rPr>
          <w:rFonts w:cstheme="minorBidi"/>
          <w:color w:val="000000"/>
          <w:szCs w:val="22"/>
          <w:lang w:val="en-GB" w:eastAsia="en-GB"/>
        </w:rPr>
        <w:t xml:space="preserve"> onset placental dysfunction necessitating delivery &lt;34 weeks </w:t>
      </w:r>
    </w:p>
    <w:p w:rsidR="00910636" w:rsidRPr="00910636" w:rsidRDefault="00910636" w:rsidP="00910636">
      <w:pPr>
        <w:spacing w:line="276" w:lineRule="auto"/>
        <w:ind w:left="720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• </w:t>
      </w:r>
      <w:proofErr w:type="gramStart"/>
      <w:r w:rsidRPr="00910636">
        <w:rPr>
          <w:rFonts w:cstheme="minorBidi"/>
          <w:color w:val="000000"/>
          <w:szCs w:val="22"/>
          <w:lang w:val="en-GB" w:eastAsia="en-GB"/>
        </w:rPr>
        <w:t>birthweight</w:t>
      </w:r>
      <w:proofErr w:type="gramEnd"/>
      <w:r w:rsidRPr="00910636">
        <w:rPr>
          <w:rFonts w:cstheme="minorBidi"/>
          <w:color w:val="000000"/>
          <w:szCs w:val="22"/>
          <w:lang w:val="en-GB" w:eastAsia="en-GB"/>
        </w:rPr>
        <w:t xml:space="preserve"> &lt;10th centile with abnormal </w:t>
      </w:r>
      <w:proofErr w:type="spellStart"/>
      <w:r w:rsidRPr="00910636">
        <w:rPr>
          <w:rFonts w:cstheme="minorBidi"/>
          <w:color w:val="000000"/>
          <w:szCs w:val="22"/>
          <w:lang w:val="en-GB" w:eastAsia="en-GB"/>
        </w:rPr>
        <w:t>fetal</w:t>
      </w:r>
      <w:proofErr w:type="spellEnd"/>
      <w:r w:rsidRPr="00910636">
        <w:rPr>
          <w:rFonts w:cstheme="minorBidi"/>
          <w:color w:val="000000"/>
          <w:szCs w:val="22"/>
          <w:lang w:val="en-GB" w:eastAsia="en-GB"/>
        </w:rPr>
        <w:t xml:space="preserve"> </w:t>
      </w:r>
      <w:proofErr w:type="spellStart"/>
      <w:r w:rsidRPr="00910636">
        <w:rPr>
          <w:rFonts w:cstheme="minorBidi"/>
          <w:color w:val="000000"/>
          <w:szCs w:val="22"/>
          <w:lang w:val="en-GB" w:eastAsia="en-GB"/>
        </w:rPr>
        <w:t>dopplers</w:t>
      </w:r>
      <w:proofErr w:type="spellEnd"/>
    </w:p>
    <w:p w:rsidR="00910636" w:rsidRPr="00910636" w:rsidRDefault="00910636" w:rsidP="00910636">
      <w:pPr>
        <w:spacing w:line="276" w:lineRule="auto"/>
        <w:rPr>
          <w:rFonts w:cstheme="minorBidi"/>
          <w:color w:val="000000"/>
          <w:szCs w:val="22"/>
          <w:lang w:val="en-GB" w:eastAsia="en-GB"/>
        </w:rPr>
      </w:pPr>
    </w:p>
    <w:p w:rsidR="00910636" w:rsidRPr="00910636" w:rsidRDefault="00910636" w:rsidP="00910636">
      <w:pPr>
        <w:spacing w:line="276" w:lineRule="auto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b/>
          <w:bCs/>
          <w:color w:val="000000"/>
          <w:szCs w:val="22"/>
          <w:lang w:val="en-GB" w:eastAsia="en-GB"/>
        </w:rPr>
        <w:t xml:space="preserve">Definition of FGR in a current pregnancy: </w:t>
      </w:r>
      <w:r w:rsidRPr="00910636">
        <w:rPr>
          <w:rFonts w:cstheme="minorBidi"/>
          <w:color w:val="000000"/>
          <w:szCs w:val="22"/>
          <w:lang w:val="en-GB" w:eastAsia="en-GB"/>
        </w:rPr>
        <w:t xml:space="preserve">defined as either of the following: </w:t>
      </w:r>
    </w:p>
    <w:p w:rsidR="00910636" w:rsidRPr="00910636" w:rsidRDefault="00910636" w:rsidP="00910636">
      <w:pPr>
        <w:spacing w:line="276" w:lineRule="auto"/>
        <w:ind w:left="720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• EFW or abdominal circumference (AC) &lt;3rd centile </w:t>
      </w:r>
    </w:p>
    <w:p w:rsidR="00910636" w:rsidRPr="00910636" w:rsidRDefault="00910636" w:rsidP="00910636">
      <w:pPr>
        <w:spacing w:line="276" w:lineRule="auto"/>
        <w:ind w:left="720"/>
        <w:rPr>
          <w:rFonts w:cstheme="minorBidi"/>
          <w:color w:val="000000"/>
          <w:szCs w:val="22"/>
          <w:lang w:val="en-GB" w:eastAsia="en-GB"/>
        </w:rPr>
      </w:pPr>
      <w:r w:rsidRPr="00910636">
        <w:rPr>
          <w:rFonts w:cstheme="minorBidi"/>
          <w:color w:val="000000"/>
          <w:szCs w:val="22"/>
          <w:lang w:val="en-GB" w:eastAsia="en-GB"/>
        </w:rPr>
        <w:t xml:space="preserve">• EFW or AC &lt;10th centile with abnormal </w:t>
      </w:r>
      <w:proofErr w:type="spellStart"/>
      <w:r w:rsidRPr="00910636">
        <w:rPr>
          <w:rFonts w:cstheme="minorBidi"/>
          <w:color w:val="000000"/>
          <w:szCs w:val="22"/>
          <w:lang w:val="en-GB" w:eastAsia="en-GB"/>
        </w:rPr>
        <w:t>fetal</w:t>
      </w:r>
      <w:proofErr w:type="spellEnd"/>
      <w:r w:rsidRPr="00910636">
        <w:rPr>
          <w:rFonts w:cstheme="minorBidi"/>
          <w:color w:val="000000"/>
          <w:szCs w:val="22"/>
          <w:lang w:val="en-GB" w:eastAsia="en-GB"/>
        </w:rPr>
        <w:t xml:space="preserve"> </w:t>
      </w:r>
      <w:proofErr w:type="spellStart"/>
      <w:proofErr w:type="gramStart"/>
      <w:r w:rsidRPr="00910636">
        <w:rPr>
          <w:rFonts w:cstheme="minorBidi"/>
          <w:color w:val="000000"/>
          <w:szCs w:val="22"/>
          <w:lang w:val="en-GB" w:eastAsia="en-GB"/>
        </w:rPr>
        <w:t>dopplers</w:t>
      </w:r>
      <w:proofErr w:type="spellEnd"/>
      <w:proofErr w:type="gramEnd"/>
    </w:p>
    <w:p w:rsidR="00910636" w:rsidRPr="00910636" w:rsidRDefault="00910636" w:rsidP="004D2B00">
      <w:pPr>
        <w:ind w:right="56"/>
        <w:rPr>
          <w:rFonts w:eastAsia="Verdana" w:cs="Arial"/>
          <w:b/>
          <w:bCs/>
          <w:spacing w:val="1"/>
          <w:sz w:val="24"/>
          <w:szCs w:val="24"/>
        </w:rPr>
      </w:pP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</w:rPr>
      </w:pPr>
      <w:r w:rsidRPr="00910636">
        <w:rPr>
          <w:rFonts w:cs="Arial"/>
          <w:i w:val="0"/>
          <w:sz w:val="24"/>
          <w:szCs w:val="24"/>
        </w:rPr>
        <w:t>3</w:t>
      </w:r>
      <w:r w:rsidR="00CA21F3" w:rsidRPr="00910636">
        <w:rPr>
          <w:rFonts w:cs="Arial"/>
          <w:i w:val="0"/>
          <w:sz w:val="24"/>
          <w:szCs w:val="24"/>
        </w:rPr>
        <w:t>.  Clinical Management</w:t>
      </w: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3</w:t>
      </w:r>
      <w:r w:rsidR="00CA21F3" w:rsidRPr="00910636">
        <w:rPr>
          <w:rFonts w:cs="Arial"/>
          <w:b/>
          <w:sz w:val="24"/>
          <w:szCs w:val="24"/>
        </w:rPr>
        <w:t>.1 Staff &amp; equipment</w:t>
      </w:r>
    </w:p>
    <w:p w:rsidR="00CB54E6" w:rsidRPr="00CB54E6" w:rsidRDefault="00CB54E6" w:rsidP="00CB54E6">
      <w:pPr>
        <w:spacing w:before="0" w:after="0"/>
        <w:rPr>
          <w:sz w:val="24"/>
          <w:lang w:eastAsia="zh-CN"/>
        </w:rPr>
      </w:pPr>
      <w:r w:rsidRPr="00CB54E6">
        <w:rPr>
          <w:sz w:val="24"/>
          <w:lang w:eastAsia="zh-CN"/>
        </w:rPr>
        <w:t>Doctors and Midwives appropriately trained in Growth Assessment Protocol</w:t>
      </w:r>
    </w:p>
    <w:p w:rsidR="00CB54E6" w:rsidRPr="00910636" w:rsidRDefault="00CB54E6" w:rsidP="00CB54E6">
      <w:pPr>
        <w:spacing w:before="0" w:after="0"/>
        <w:rPr>
          <w:rFonts w:cs="Arial"/>
          <w:b/>
          <w:sz w:val="24"/>
          <w:szCs w:val="24"/>
        </w:rPr>
      </w:pPr>
      <w:r w:rsidRPr="00CB54E6">
        <w:rPr>
          <w:sz w:val="24"/>
          <w:lang w:eastAsia="zh-CN"/>
        </w:rPr>
        <w:t>Ultrasound equipment and trained sonographers</w:t>
      </w:r>
    </w:p>
    <w:p w:rsidR="00537943" w:rsidRDefault="00537943" w:rsidP="004D2B0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US"/>
        </w:rPr>
      </w:pPr>
      <w:r w:rsidRPr="00910636">
        <w:rPr>
          <w:rFonts w:ascii="Arial" w:hAnsi="Arial" w:cs="Arial"/>
          <w:b/>
          <w:sz w:val="24"/>
          <w:szCs w:val="24"/>
          <w:lang w:val="en-US"/>
        </w:rPr>
        <w:t>3.2 Method/procedure</w:t>
      </w:r>
    </w:p>
    <w:p w:rsidR="00910636" w:rsidRPr="00910636" w:rsidRDefault="00910636" w:rsidP="00910636">
      <w:pPr>
        <w:pStyle w:val="Header"/>
        <w:tabs>
          <w:tab w:val="clear" w:pos="4153"/>
          <w:tab w:val="clear" w:pos="8306"/>
        </w:tabs>
        <w:rPr>
          <w:rFonts w:cstheme="majorBidi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3.2.1 </w:t>
      </w:r>
      <w:bookmarkStart w:id="1" w:name="_Toc57658347"/>
      <w:r w:rsidR="00B859C5">
        <w:rPr>
          <w:rFonts w:cstheme="majorBidi"/>
          <w:b/>
          <w:bCs/>
          <w:sz w:val="28"/>
          <w:szCs w:val="28"/>
        </w:rPr>
        <w:t>Aspirin to reduce</w:t>
      </w:r>
      <w:r w:rsidRPr="00910636">
        <w:rPr>
          <w:rFonts w:cstheme="majorBidi"/>
          <w:b/>
          <w:bCs/>
          <w:sz w:val="28"/>
          <w:szCs w:val="28"/>
        </w:rPr>
        <w:t xml:space="preserve"> Early Onset Fetal Growth Restriction and Pre-eclampsia</w:t>
      </w:r>
      <w:bookmarkEnd w:id="1"/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Aspirin has been shown to reduce the risk of placental dysfunction, especially pre-eclampsia. 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All women should have the Aspirin Risk Assessment completed by the booking midwife.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If there are </w:t>
      </w:r>
      <w:r w:rsidRPr="00910636">
        <w:rPr>
          <w:rFonts w:cstheme="minorBidi"/>
          <w:i/>
          <w:szCs w:val="22"/>
          <w:lang w:val="en-GB"/>
        </w:rPr>
        <w:t>2 moderate risk factors</w:t>
      </w:r>
      <w:r w:rsidRPr="00910636">
        <w:rPr>
          <w:rFonts w:cstheme="minorBidi"/>
          <w:szCs w:val="22"/>
          <w:lang w:val="en-GB"/>
        </w:rPr>
        <w:t xml:space="preserve"> or </w:t>
      </w:r>
      <w:r w:rsidRPr="00910636">
        <w:rPr>
          <w:rFonts w:cstheme="minorBidi"/>
          <w:i/>
          <w:szCs w:val="22"/>
          <w:lang w:val="en-GB"/>
        </w:rPr>
        <w:t>one high risk factor</w:t>
      </w:r>
      <w:r w:rsidRPr="00910636">
        <w:rPr>
          <w:rFonts w:cstheme="minorBidi"/>
          <w:szCs w:val="22"/>
          <w:lang w:val="en-GB"/>
        </w:rPr>
        <w:t>, the midwife at booking should:</w:t>
      </w:r>
    </w:p>
    <w:p w:rsidR="00910636" w:rsidRPr="00910636" w:rsidRDefault="00910636" w:rsidP="00B859C5">
      <w:pPr>
        <w:numPr>
          <w:ilvl w:val="0"/>
          <w:numId w:val="37"/>
        </w:numPr>
        <w:spacing w:line="276" w:lineRule="auto"/>
        <w:contextualSpacing/>
        <w:rPr>
          <w:rFonts w:cstheme="minorBidi"/>
          <w:szCs w:val="22"/>
          <w:lang w:val="en-GB"/>
        </w:rPr>
      </w:pPr>
      <w:proofErr w:type="gramStart"/>
      <w:r w:rsidRPr="00910636">
        <w:rPr>
          <w:rFonts w:cstheme="minorBidi"/>
          <w:szCs w:val="22"/>
          <w:lang w:val="en-GB"/>
        </w:rPr>
        <w:t>advise</w:t>
      </w:r>
      <w:proofErr w:type="gramEnd"/>
      <w:r w:rsidRPr="00910636">
        <w:rPr>
          <w:rFonts w:cstheme="minorBidi"/>
          <w:szCs w:val="22"/>
          <w:lang w:val="en-GB"/>
        </w:rPr>
        <w:t xml:space="preserve"> the woman to commence aspirin 150mg once daily at night from 12 weeks until 36 weeks (if no contraindications). </w:t>
      </w:r>
    </w:p>
    <w:p w:rsidR="00910636" w:rsidRPr="00910636" w:rsidRDefault="00910636" w:rsidP="00B859C5">
      <w:pPr>
        <w:numPr>
          <w:ilvl w:val="0"/>
          <w:numId w:val="37"/>
        </w:numPr>
        <w:spacing w:line="276" w:lineRule="auto"/>
        <w:contextualSpacing/>
        <w:rPr>
          <w:rFonts w:cstheme="minorBidi"/>
          <w:szCs w:val="22"/>
          <w:lang w:val="en-GB"/>
        </w:rPr>
      </w:pPr>
      <w:proofErr w:type="gramStart"/>
      <w:r w:rsidRPr="00910636">
        <w:rPr>
          <w:rFonts w:cstheme="minorBidi"/>
          <w:szCs w:val="22"/>
          <w:lang w:val="en-GB"/>
        </w:rPr>
        <w:t>explain</w:t>
      </w:r>
      <w:proofErr w:type="gramEnd"/>
      <w:r w:rsidRPr="00910636">
        <w:rPr>
          <w:rFonts w:cstheme="minorBidi"/>
          <w:szCs w:val="22"/>
          <w:lang w:val="en-GB"/>
        </w:rPr>
        <w:t xml:space="preserve"> that this reduces the risk of severe pre-term pre-eclampsia and growth restriction, both caused by placental problems.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</w:p>
    <w:p w:rsidR="00910636" w:rsidRPr="00B859C5" w:rsidRDefault="00B859C5" w:rsidP="00B859C5">
      <w:r w:rsidRPr="00B859C5">
        <w:t>C</w:t>
      </w:r>
      <w:r w:rsidR="00910636" w:rsidRPr="00B859C5">
        <w:t>ontraindications:</w:t>
      </w:r>
    </w:p>
    <w:p w:rsidR="00910636" w:rsidRPr="00B859C5" w:rsidRDefault="00910636" w:rsidP="00B859C5">
      <w:pPr>
        <w:pStyle w:val="ListParagraph"/>
        <w:numPr>
          <w:ilvl w:val="0"/>
          <w:numId w:val="38"/>
        </w:numPr>
      </w:pPr>
      <w:r w:rsidRPr="00B859C5">
        <w:t xml:space="preserve">previous significant upper GI ulcers or bleeding </w:t>
      </w:r>
    </w:p>
    <w:p w:rsidR="00910636" w:rsidRPr="00B859C5" w:rsidRDefault="00910636" w:rsidP="00B859C5">
      <w:pPr>
        <w:pStyle w:val="ListParagraph"/>
        <w:numPr>
          <w:ilvl w:val="0"/>
          <w:numId w:val="38"/>
        </w:numPr>
      </w:pPr>
      <w:r w:rsidRPr="00B859C5">
        <w:t>aspirin allergy</w:t>
      </w:r>
    </w:p>
    <w:p w:rsidR="00910636" w:rsidRPr="00B859C5" w:rsidRDefault="00910636" w:rsidP="00B859C5">
      <w:pPr>
        <w:pStyle w:val="ListParagraph"/>
        <w:numPr>
          <w:ilvl w:val="0"/>
          <w:numId w:val="38"/>
        </w:numPr>
      </w:pPr>
      <w:r w:rsidRPr="00B859C5">
        <w:t>hypersensitivity to other NSAIDs (</w:t>
      </w:r>
      <w:proofErr w:type="spellStart"/>
      <w:r w:rsidRPr="00B859C5">
        <w:t>eg</w:t>
      </w:r>
      <w:proofErr w:type="spellEnd"/>
      <w:r w:rsidRPr="00B859C5">
        <w:t xml:space="preserve"> ibuprofen) </w:t>
      </w:r>
    </w:p>
    <w:p w:rsidR="00AB3823" w:rsidRPr="00B859C5" w:rsidRDefault="00910636" w:rsidP="00AB3823">
      <w:pPr>
        <w:pStyle w:val="ListParagraph"/>
        <w:numPr>
          <w:ilvl w:val="0"/>
          <w:numId w:val="38"/>
        </w:numPr>
      </w:pPr>
      <w:proofErr w:type="gramStart"/>
      <w:r w:rsidRPr="00B859C5">
        <w:t>women</w:t>
      </w:r>
      <w:proofErr w:type="gramEnd"/>
      <w:r w:rsidRPr="00B859C5">
        <w:t xml:space="preserve"> with asthma who give a clear history of aspirin allergy (this is unusual). </w:t>
      </w:r>
    </w:p>
    <w:p w:rsidR="00910636" w:rsidRDefault="00910636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p w:rsidR="00B859C5" w:rsidRDefault="00B859C5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p w:rsidR="001E11AE" w:rsidRDefault="001E11AE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p w:rsidR="00AB3823" w:rsidRDefault="00AB3823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p w:rsidR="00AB3823" w:rsidRDefault="00AB3823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p w:rsidR="00AB3823" w:rsidRPr="00910636" w:rsidRDefault="00AB3823" w:rsidP="00910636">
      <w:pPr>
        <w:spacing w:line="276" w:lineRule="auto"/>
        <w:rPr>
          <w:rFonts w:cstheme="minorBidi"/>
          <w:color w:val="4F81BD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942"/>
      </w:tblGrid>
      <w:tr w:rsidR="00910636" w:rsidRPr="00910636" w:rsidTr="001E11AE">
        <w:trPr>
          <w:trHeight w:val="416"/>
        </w:trPr>
        <w:tc>
          <w:tcPr>
            <w:tcW w:w="1101" w:type="dxa"/>
            <w:shd w:val="clear" w:color="auto" w:fill="auto"/>
          </w:tcPr>
          <w:p w:rsidR="00910636" w:rsidRPr="00B859C5" w:rsidRDefault="001E11AE" w:rsidP="00B859C5">
            <w:pPr>
              <w:rPr>
                <w:rFonts w:cstheme="minorBidi"/>
                <w:b/>
                <w:sz w:val="18"/>
                <w:szCs w:val="18"/>
                <w:lang w:val="en-GB" w:eastAsia="en-GB"/>
              </w:rPr>
            </w:pPr>
            <w:r>
              <w:rPr>
                <w:rFonts w:cstheme="minorBidi"/>
                <w:b/>
                <w:sz w:val="18"/>
                <w:szCs w:val="18"/>
                <w:lang w:val="en-GB" w:eastAsia="en-GB"/>
              </w:rPr>
              <w:t>Risk level</w:t>
            </w:r>
          </w:p>
        </w:tc>
        <w:tc>
          <w:tcPr>
            <w:tcW w:w="5811" w:type="dxa"/>
            <w:shd w:val="clear" w:color="auto" w:fill="auto"/>
          </w:tcPr>
          <w:p w:rsidR="001E11AE" w:rsidRDefault="001E11AE" w:rsidP="00B859C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910636" w:rsidRPr="00B859C5" w:rsidRDefault="00910636" w:rsidP="00B859C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Risk factors </w:t>
            </w:r>
          </w:p>
        </w:tc>
        <w:tc>
          <w:tcPr>
            <w:tcW w:w="2942" w:type="dxa"/>
            <w:shd w:val="clear" w:color="auto" w:fill="auto"/>
          </w:tcPr>
          <w:p w:rsidR="001E11AE" w:rsidRDefault="001E11AE" w:rsidP="00B859C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910636" w:rsidRPr="00B859C5" w:rsidRDefault="00910636" w:rsidP="00B859C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Recommendation </w:t>
            </w:r>
          </w:p>
          <w:p w:rsidR="00910636" w:rsidRPr="00B859C5" w:rsidRDefault="00910636" w:rsidP="00B859C5">
            <w:pPr>
              <w:spacing w:before="0" w:after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10636" w:rsidRPr="00910636" w:rsidTr="00B859C5">
        <w:trPr>
          <w:trHeight w:val="1546"/>
        </w:trPr>
        <w:tc>
          <w:tcPr>
            <w:tcW w:w="1101" w:type="dxa"/>
            <w:shd w:val="clear" w:color="auto" w:fill="auto"/>
          </w:tcPr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High </w:t>
            </w:r>
          </w:p>
        </w:tc>
        <w:tc>
          <w:tcPr>
            <w:tcW w:w="5811" w:type="dxa"/>
            <w:shd w:val="clear" w:color="auto" w:fill="auto"/>
          </w:tcPr>
          <w:p w:rsidR="00B859C5" w:rsidRPr="00B859C5" w:rsidRDefault="00B859C5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Essential hypertension </w:t>
            </w:r>
          </w:p>
          <w:p w:rsid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Previous pregnancy with gestation</w:t>
            </w:r>
            <w:r w:rsidR="00B859C5"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al</w:t>
            </w: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hypertension / pre-eclampsia </w:t>
            </w:r>
          </w:p>
          <w:p w:rsid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Previous baby &lt;10</w:t>
            </w:r>
            <w:r w:rsidRPr="00B859C5"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centile</w:t>
            </w:r>
          </w:p>
          <w:p w:rsidR="00B859C5" w:rsidRP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Stillbirth</w:t>
            </w:r>
          </w:p>
          <w:p w:rsid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Placental histology confirming placental dysfunction in a previous pregnancy</w:t>
            </w:r>
          </w:p>
          <w:p w:rsid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Type 1 or type 2 diabetes </w:t>
            </w:r>
          </w:p>
          <w:p w:rsidR="00910636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Autoimmune disease </w:t>
            </w:r>
            <w:r w:rsidR="00B859C5">
              <w:rPr>
                <w:rFonts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B859C5">
              <w:rPr>
                <w:rFonts w:cs="Arial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: </w:t>
            </w: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systemic lupus erythematos</w:t>
            </w:r>
            <w:r w:rsidR="00B859C5">
              <w:rPr>
                <w:rFonts w:cs="Arial"/>
                <w:color w:val="000000"/>
                <w:sz w:val="18"/>
                <w:szCs w:val="18"/>
                <w:lang w:eastAsia="en-GB"/>
              </w:rPr>
              <w:t>us or antiphospholipid syndrome)</w:t>
            </w:r>
          </w:p>
          <w:p w:rsidR="00910636" w:rsidRP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Chronic kidney disease </w:t>
            </w:r>
          </w:p>
          <w:p w:rsidR="00910636" w:rsidRP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>PappA</w:t>
            </w:r>
            <w:proofErr w:type="spellEnd"/>
            <w:r w:rsidRPr="00B859C5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&lt;0.41 </w:t>
            </w:r>
          </w:p>
        </w:tc>
        <w:tc>
          <w:tcPr>
            <w:tcW w:w="2942" w:type="dxa"/>
            <w:shd w:val="clear" w:color="auto" w:fill="auto"/>
          </w:tcPr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  <w:p w:rsid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Recommend aspirin 150mg </w:t>
            </w:r>
          </w:p>
          <w:p w:rsidR="00910636" w:rsidRPr="00B859C5" w:rsidRDefault="00910636" w:rsidP="00B859C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if the woman </w:t>
            </w:r>
            <w:r w:rsid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any </w:t>
            </w: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of these high risk factors </w:t>
            </w:r>
          </w:p>
        </w:tc>
      </w:tr>
      <w:tr w:rsidR="00910636" w:rsidRPr="00910636" w:rsidTr="00B859C5">
        <w:trPr>
          <w:trHeight w:val="1266"/>
        </w:trPr>
        <w:tc>
          <w:tcPr>
            <w:tcW w:w="1101" w:type="dxa"/>
            <w:shd w:val="clear" w:color="auto" w:fill="auto"/>
          </w:tcPr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Moderate </w:t>
            </w:r>
          </w:p>
        </w:tc>
        <w:tc>
          <w:tcPr>
            <w:tcW w:w="5811" w:type="dxa"/>
            <w:shd w:val="clear" w:color="auto" w:fill="auto"/>
          </w:tcPr>
          <w:p w:rsidR="00910636" w:rsidRPr="00B859C5" w:rsidRDefault="00910636" w:rsidP="00B859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18"/>
                <w:lang w:eastAsia="en-GB"/>
              </w:rPr>
            </w:pP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First pregnancy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Current smoker at booking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Are 40 years or older at booking 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Pregnancy interval of more than 10 years 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Body mass index (BMI) of 35kg/m² or more at first visit 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Family history of preeclampsia in a first degree relative </w:t>
            </w:r>
          </w:p>
          <w:p w:rsidR="00910636" w:rsidRPr="00B859C5" w:rsidRDefault="00910636" w:rsidP="00B859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76" w:lineRule="auto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Multiple pregnancy</w:t>
            </w:r>
          </w:p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42" w:type="dxa"/>
            <w:shd w:val="clear" w:color="auto" w:fill="auto"/>
          </w:tcPr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  <w:p w:rsidR="00910636" w:rsidRPr="00B859C5" w:rsidRDefault="00910636" w:rsidP="0091063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Consider aspirin if the woman has two or more </w:t>
            </w:r>
            <w:r w:rsidR="00B859C5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of these factors</w:t>
            </w:r>
          </w:p>
        </w:tc>
      </w:tr>
    </w:tbl>
    <w:p w:rsidR="00B859C5" w:rsidRDefault="00B859C5" w:rsidP="00B859C5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="Arial"/>
          <w:b/>
          <w:sz w:val="24"/>
          <w:szCs w:val="24"/>
        </w:rPr>
      </w:pPr>
    </w:p>
    <w:p w:rsidR="00B859C5" w:rsidRPr="00ED4AA2" w:rsidRDefault="00910636" w:rsidP="00B859C5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eastAsiaTheme="majorEastAsia" w:cstheme="majorBidi"/>
          <w:b/>
          <w:bCs/>
          <w:sz w:val="24"/>
          <w:szCs w:val="26"/>
          <w:u w:val="single"/>
          <w:lang w:val="en-GB"/>
        </w:rPr>
      </w:pPr>
      <w:r w:rsidRPr="00ED4AA2">
        <w:rPr>
          <w:rFonts w:cs="Arial"/>
          <w:b/>
          <w:sz w:val="24"/>
          <w:szCs w:val="24"/>
          <w:u w:val="single"/>
        </w:rPr>
        <w:t xml:space="preserve">3.2.2 </w:t>
      </w:r>
      <w:bookmarkStart w:id="2" w:name="_Toc57658349"/>
      <w:r w:rsidR="00B859C5" w:rsidRPr="00ED4AA2">
        <w:rPr>
          <w:rFonts w:eastAsiaTheme="majorEastAsia" w:cstheme="majorBidi"/>
          <w:b/>
          <w:bCs/>
          <w:sz w:val="24"/>
          <w:szCs w:val="26"/>
          <w:u w:val="single"/>
          <w:lang w:val="en-GB"/>
        </w:rPr>
        <w:t xml:space="preserve">Women without risk factors for SGA: </w:t>
      </w:r>
      <w:bookmarkEnd w:id="2"/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Both abdominal palpation and symphysis fundal height measurement (SFH) have limited accuracy to predict an SGA </w:t>
      </w:r>
      <w:proofErr w:type="spellStart"/>
      <w:r w:rsidRPr="00910636">
        <w:rPr>
          <w:rFonts w:cstheme="minorBidi"/>
          <w:szCs w:val="22"/>
          <w:lang w:val="en-GB"/>
        </w:rPr>
        <w:t>fetus</w:t>
      </w:r>
      <w:proofErr w:type="spellEnd"/>
      <w:r w:rsidRPr="00910636">
        <w:rPr>
          <w:rFonts w:cstheme="minorBidi"/>
          <w:szCs w:val="22"/>
          <w:lang w:val="en-GB"/>
        </w:rPr>
        <w:t xml:space="preserve">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However routine ultrasound in the third trimester has not been shown to improve outcome in low risk pregnancies and therefore measurement of SFH is used as a screening test in routine care.</w:t>
      </w:r>
    </w:p>
    <w:p w:rsidR="00910636" w:rsidRPr="00910636" w:rsidRDefault="00ED4AA2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In all women assessed as low risk at booking, m</w:t>
      </w:r>
      <w:r w:rsidR="00910636" w:rsidRPr="00910636">
        <w:rPr>
          <w:rFonts w:cstheme="minorBidi"/>
          <w:szCs w:val="22"/>
          <w:lang w:val="en-GB"/>
        </w:rPr>
        <w:t xml:space="preserve">easure the SFH at each antenatal visit from 24 weeks gestation. </w:t>
      </w:r>
    </w:p>
    <w:p w:rsid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The SFH measurement should be documented </w:t>
      </w:r>
      <w:r w:rsidR="00B859C5">
        <w:rPr>
          <w:rFonts w:cstheme="minorBidi"/>
          <w:szCs w:val="22"/>
          <w:lang w:val="en-GB"/>
        </w:rPr>
        <w:t>in the handheld notes and plotted on the personalised GROW growth chart</w:t>
      </w:r>
      <w:r w:rsidRPr="00910636">
        <w:rPr>
          <w:rFonts w:cstheme="minorBidi"/>
          <w:szCs w:val="22"/>
          <w:lang w:val="en-GB"/>
        </w:rPr>
        <w:t>.</w:t>
      </w:r>
    </w:p>
    <w:p w:rsidR="00ED4AA2" w:rsidRPr="00ED4AA2" w:rsidRDefault="00ED4AA2" w:rsidP="00ED4AA2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Cs/>
          <w:sz w:val="24"/>
          <w:szCs w:val="26"/>
          <w:lang w:val="en-GB"/>
        </w:rPr>
      </w:pPr>
      <w:bookmarkStart w:id="3" w:name="_Toc57658351"/>
      <w:r w:rsidRPr="00ED4AA2">
        <w:rPr>
          <w:rFonts w:cstheme="majorBidi"/>
          <w:bCs/>
          <w:sz w:val="24"/>
          <w:szCs w:val="26"/>
          <w:lang w:val="en-GB"/>
        </w:rPr>
        <w:t>Women unsuitable for monitoring by fundal height measurement</w:t>
      </w:r>
      <w:bookmarkEnd w:id="3"/>
      <w:r w:rsidRPr="00ED4AA2">
        <w:rPr>
          <w:rFonts w:cstheme="majorBidi"/>
          <w:bCs/>
          <w:sz w:val="24"/>
          <w:szCs w:val="26"/>
          <w:lang w:val="en-GB"/>
        </w:rPr>
        <w:t xml:space="preserve"> </w:t>
      </w:r>
    </w:p>
    <w:p w:rsidR="00ED4AA2" w:rsidRPr="00910636" w:rsidRDefault="00ED4AA2" w:rsidP="00ED4AA2">
      <w:pPr>
        <w:numPr>
          <w:ilvl w:val="0"/>
          <w:numId w:val="16"/>
        </w:numPr>
        <w:spacing w:line="276" w:lineRule="auto"/>
        <w:contextualSpacing/>
        <w:rPr>
          <w:rFonts w:cstheme="minorBidi"/>
          <w:b/>
          <w:iCs/>
          <w:szCs w:val="22"/>
          <w:lang w:val="en-GB"/>
        </w:rPr>
      </w:pPr>
      <w:r w:rsidRPr="00910636">
        <w:rPr>
          <w:rFonts w:cstheme="minorBidi"/>
          <w:iCs/>
          <w:szCs w:val="22"/>
          <w:lang w:val="en-GB"/>
        </w:rPr>
        <w:t>Large fibroids (&gt;5cm)</w:t>
      </w:r>
    </w:p>
    <w:p w:rsidR="00ED4AA2" w:rsidRPr="00910636" w:rsidRDefault="00ED4AA2" w:rsidP="00ED4AA2">
      <w:pPr>
        <w:numPr>
          <w:ilvl w:val="0"/>
          <w:numId w:val="16"/>
        </w:numPr>
        <w:spacing w:line="276" w:lineRule="auto"/>
        <w:contextualSpacing/>
        <w:rPr>
          <w:rFonts w:cstheme="minorBidi"/>
          <w:b/>
          <w:iCs/>
          <w:szCs w:val="22"/>
          <w:lang w:val="en-GB"/>
        </w:rPr>
      </w:pPr>
      <w:r w:rsidRPr="00910636">
        <w:rPr>
          <w:rFonts w:cstheme="minorBidi"/>
          <w:iCs/>
          <w:szCs w:val="22"/>
          <w:lang w:val="en-GB"/>
        </w:rPr>
        <w:t xml:space="preserve">BMI &gt;35  </w:t>
      </w:r>
    </w:p>
    <w:p w:rsidR="00ED4AA2" w:rsidRPr="00910636" w:rsidRDefault="00ED4AA2" w:rsidP="00ED4AA2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These women require monitoring as per the </w:t>
      </w:r>
      <w:r w:rsidR="001876C7">
        <w:rPr>
          <w:rFonts w:cstheme="minorBidi"/>
          <w:szCs w:val="22"/>
          <w:lang w:val="en-GB"/>
        </w:rPr>
        <w:t xml:space="preserve">GAP care </w:t>
      </w:r>
      <w:r w:rsidRPr="00910636">
        <w:rPr>
          <w:rFonts w:cstheme="minorBidi"/>
          <w:szCs w:val="22"/>
          <w:lang w:val="en-GB"/>
        </w:rPr>
        <w:t xml:space="preserve">pathway.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Indications for</w:t>
      </w:r>
      <w:r w:rsidRPr="00910636">
        <w:rPr>
          <w:rFonts w:cstheme="minorBidi"/>
          <w:spacing w:val="-2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a growth scan (if the woman has not had one in the last 2 weeks) are:</w:t>
      </w:r>
    </w:p>
    <w:p w:rsidR="00910636" w:rsidRPr="00910636" w:rsidRDefault="00910636" w:rsidP="00910636">
      <w:pPr>
        <w:numPr>
          <w:ilvl w:val="0"/>
          <w:numId w:val="17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First</w:t>
      </w:r>
      <w:r w:rsidRPr="00910636">
        <w:rPr>
          <w:rFonts w:cstheme="minorBidi"/>
          <w:spacing w:val="-5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SFH measurement below 1</w:t>
      </w:r>
      <w:r w:rsidRPr="00910636">
        <w:rPr>
          <w:rFonts w:cstheme="minorBidi"/>
          <w:spacing w:val="-2"/>
          <w:szCs w:val="22"/>
          <w:lang w:val="en-GB"/>
        </w:rPr>
        <w:t>0</w:t>
      </w:r>
      <w:proofErr w:type="spellStart"/>
      <w:r w:rsidRPr="00910636">
        <w:rPr>
          <w:rFonts w:cstheme="minorBidi"/>
          <w:position w:val="11"/>
          <w:szCs w:val="22"/>
          <w:lang w:val="en-GB"/>
        </w:rPr>
        <w:t>th</w:t>
      </w:r>
      <w:proofErr w:type="spellEnd"/>
      <w:r w:rsidRPr="00910636">
        <w:rPr>
          <w:rFonts w:cstheme="minorBidi"/>
          <w:spacing w:val="23"/>
          <w:position w:val="11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 xml:space="preserve">centile </w:t>
      </w:r>
    </w:p>
    <w:p w:rsidR="00910636" w:rsidRPr="00910636" w:rsidRDefault="00910636" w:rsidP="00910636">
      <w:pPr>
        <w:numPr>
          <w:ilvl w:val="0"/>
          <w:numId w:val="17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Static</w:t>
      </w:r>
      <w:r w:rsidRPr="00910636">
        <w:rPr>
          <w:rFonts w:cstheme="minorBidi"/>
          <w:spacing w:val="-6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growth: no increase</w:t>
      </w:r>
      <w:r w:rsidRPr="00910636">
        <w:rPr>
          <w:rFonts w:cstheme="minorBidi"/>
          <w:spacing w:val="-1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in sequential mea</w:t>
      </w:r>
      <w:r w:rsidRPr="00910636">
        <w:rPr>
          <w:rFonts w:cstheme="minorBidi"/>
          <w:spacing w:val="1"/>
          <w:szCs w:val="22"/>
          <w:lang w:val="en-GB"/>
        </w:rPr>
        <w:t>s</w:t>
      </w:r>
      <w:r w:rsidRPr="00910636">
        <w:rPr>
          <w:rFonts w:cstheme="minorBidi"/>
          <w:szCs w:val="22"/>
          <w:lang w:val="en-GB"/>
        </w:rPr>
        <w:t>urements</w:t>
      </w:r>
    </w:p>
    <w:p w:rsidR="00910636" w:rsidRDefault="00910636" w:rsidP="006658E8">
      <w:pPr>
        <w:numPr>
          <w:ilvl w:val="0"/>
          <w:numId w:val="17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1876C7">
        <w:rPr>
          <w:rFonts w:cstheme="minorBidi"/>
          <w:szCs w:val="22"/>
          <w:lang w:val="en-GB"/>
        </w:rPr>
        <w:t xml:space="preserve">Slow growth: </w:t>
      </w:r>
      <w:r w:rsidR="001876C7">
        <w:rPr>
          <w:rFonts w:cstheme="minorBidi"/>
          <w:szCs w:val="22"/>
          <w:lang w:val="en-GB"/>
        </w:rPr>
        <w:t>defined as serial SFHs with a trajectory less than the slope of the 10</w:t>
      </w:r>
      <w:r w:rsidR="001876C7" w:rsidRPr="006658E8">
        <w:rPr>
          <w:rFonts w:cstheme="minorBidi"/>
          <w:szCs w:val="22"/>
          <w:vertAlign w:val="superscript"/>
          <w:lang w:val="en-GB"/>
        </w:rPr>
        <w:t>th</w:t>
      </w:r>
      <w:r w:rsidR="001876C7">
        <w:rPr>
          <w:rFonts w:cstheme="minorBidi"/>
          <w:szCs w:val="22"/>
          <w:lang w:val="en-GB"/>
        </w:rPr>
        <w:t xml:space="preserve"> centile</w:t>
      </w:r>
    </w:p>
    <w:p w:rsidR="00CB54E6" w:rsidRDefault="00CB54E6" w:rsidP="00CB54E6">
      <w:pPr>
        <w:spacing w:line="276" w:lineRule="auto"/>
        <w:ind w:left="720"/>
        <w:contextualSpacing/>
        <w:rPr>
          <w:rFonts w:cstheme="minorBidi"/>
          <w:szCs w:val="22"/>
          <w:lang w:val="en-GB"/>
        </w:rPr>
      </w:pPr>
    </w:p>
    <w:p w:rsidR="00CB54E6" w:rsidRPr="001876C7" w:rsidRDefault="00CB54E6" w:rsidP="00CB54E6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910636" w:rsidRPr="00910636" w:rsidRDefault="001E11AE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Carry out</w:t>
      </w:r>
      <w:r w:rsidR="00910636" w:rsidRPr="00910636">
        <w:rPr>
          <w:rFonts w:cstheme="minorBidi"/>
          <w:szCs w:val="22"/>
          <w:lang w:val="en-GB"/>
        </w:rPr>
        <w:t xml:space="preserve"> BP, urine dip and fetal movements. </w:t>
      </w:r>
    </w:p>
    <w:p w:rsidR="00910636" w:rsidRPr="00910636" w:rsidRDefault="001876C7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lastRenderedPageBreak/>
        <w:t>A</w:t>
      </w:r>
      <w:r w:rsidR="00910636" w:rsidRPr="00910636">
        <w:rPr>
          <w:rFonts w:cstheme="minorBidi"/>
          <w:szCs w:val="22"/>
          <w:lang w:val="en-GB"/>
        </w:rPr>
        <w:t xml:space="preserve"> growth scan should be arranged within the next 2-3 working days.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If additional scans have been arranged for women as part of the screening for fetal growth restriction, SFH measurements are not required unless there is clear documentation to do so. 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If scan</w:t>
      </w:r>
      <w:r w:rsidR="001E11AE">
        <w:rPr>
          <w:rFonts w:cstheme="minorBidi"/>
          <w:szCs w:val="22"/>
          <w:lang w:val="en-GB"/>
        </w:rPr>
        <w:t xml:space="preserve">s are planned to start later </w:t>
      </w:r>
      <w:proofErr w:type="spellStart"/>
      <w:r w:rsidR="001E11AE">
        <w:rPr>
          <w:rFonts w:cstheme="minorBidi"/>
          <w:szCs w:val="22"/>
          <w:lang w:val="en-GB"/>
        </w:rPr>
        <w:t>eg</w:t>
      </w:r>
      <w:proofErr w:type="spellEnd"/>
      <w:r w:rsidR="001E11AE">
        <w:rPr>
          <w:rFonts w:cstheme="minorBidi"/>
          <w:szCs w:val="22"/>
          <w:lang w:val="en-GB"/>
        </w:rPr>
        <w:t xml:space="preserve"> 32 weeks, perform </w:t>
      </w:r>
      <w:r w:rsidRPr="00910636">
        <w:rPr>
          <w:rFonts w:cstheme="minorBidi"/>
          <w:szCs w:val="22"/>
          <w:lang w:val="en-GB"/>
        </w:rPr>
        <w:t xml:space="preserve">SFH measurement </w:t>
      </w:r>
      <w:r w:rsidR="001E11AE">
        <w:rPr>
          <w:rFonts w:cstheme="minorBidi"/>
          <w:szCs w:val="22"/>
          <w:lang w:val="en-GB"/>
        </w:rPr>
        <w:t>at every contact &gt;24 weeks until then</w:t>
      </w:r>
      <w:r w:rsidRPr="00910636">
        <w:rPr>
          <w:rFonts w:cstheme="minorBidi"/>
          <w:szCs w:val="22"/>
          <w:lang w:val="en-GB"/>
        </w:rPr>
        <w:t>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 repeat scan is not indicated if there has been a normal scan within the last 2-3 weeks.</w:t>
      </w:r>
    </w:p>
    <w:p w:rsidR="001876C7" w:rsidRDefault="005C1C99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Midwives may request a scan for a clinically small baby without review by a doctor first if the clinical situation fits the criteria described above (regarding SFH measurement).</w:t>
      </w:r>
    </w:p>
    <w:p w:rsidR="00694C2A" w:rsidRDefault="005C1C99" w:rsidP="00694C2A">
      <w:pPr>
        <w:widowControl w:val="0"/>
        <w:autoSpaceDE w:val="0"/>
        <w:autoSpaceDN w:val="0"/>
        <w:adjustRightInd w:val="0"/>
        <w:ind w:right="57"/>
        <w:jc w:val="both"/>
        <w:rPr>
          <w:i/>
          <w:color w:val="000000"/>
        </w:rPr>
      </w:pPr>
      <w:r w:rsidRPr="00910636">
        <w:rPr>
          <w:rFonts w:cstheme="minorBidi"/>
          <w:szCs w:val="22"/>
          <w:lang w:val="en-GB"/>
        </w:rPr>
        <w:t xml:space="preserve"> </w:t>
      </w:r>
      <w:r w:rsidR="00694C2A">
        <w:rPr>
          <w:color w:val="211D1E"/>
        </w:rPr>
        <w:t>If</w:t>
      </w:r>
      <w:r w:rsidR="00694C2A">
        <w:rPr>
          <w:color w:val="211D1E"/>
          <w:spacing w:val="49"/>
        </w:rPr>
        <w:t xml:space="preserve"> </w:t>
      </w:r>
      <w:r w:rsidR="00694C2A">
        <w:rPr>
          <w:color w:val="211D1E"/>
        </w:rPr>
        <w:t>the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EFW</w:t>
      </w:r>
      <w:r w:rsidR="00694C2A">
        <w:rPr>
          <w:color w:val="211D1E"/>
          <w:spacing w:val="45"/>
        </w:rPr>
        <w:t xml:space="preserve"> </w:t>
      </w:r>
      <w:r w:rsidR="00694C2A">
        <w:rPr>
          <w:color w:val="211D1E"/>
        </w:rPr>
        <w:t>plots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between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the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1</w:t>
      </w:r>
      <w:r w:rsidR="00694C2A">
        <w:rPr>
          <w:color w:val="211D1E"/>
          <w:spacing w:val="-1"/>
        </w:rPr>
        <w:t>0</w:t>
      </w:r>
      <w:proofErr w:type="spellStart"/>
      <w:r w:rsidR="00694C2A">
        <w:rPr>
          <w:color w:val="211D1E"/>
          <w:position w:val="11"/>
          <w:sz w:val="16"/>
          <w:szCs w:val="16"/>
        </w:rPr>
        <w:t>th</w:t>
      </w:r>
      <w:proofErr w:type="spellEnd"/>
      <w:r w:rsidR="00694C2A">
        <w:rPr>
          <w:color w:val="211D1E"/>
          <w:position w:val="11"/>
          <w:sz w:val="16"/>
          <w:szCs w:val="16"/>
        </w:rPr>
        <w:t xml:space="preserve"> </w:t>
      </w:r>
      <w:r w:rsidR="00694C2A">
        <w:rPr>
          <w:color w:val="211D1E"/>
          <w:spacing w:val="28"/>
          <w:position w:val="11"/>
          <w:sz w:val="16"/>
          <w:szCs w:val="16"/>
        </w:rPr>
        <w:t xml:space="preserve"> </w:t>
      </w:r>
      <w:r w:rsidR="00694C2A">
        <w:rPr>
          <w:color w:val="211D1E"/>
        </w:rPr>
        <w:t>and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90</w:t>
      </w:r>
      <w:proofErr w:type="spellStart"/>
      <w:r w:rsidR="00694C2A">
        <w:rPr>
          <w:color w:val="211D1E"/>
          <w:position w:val="11"/>
          <w:sz w:val="16"/>
          <w:szCs w:val="16"/>
        </w:rPr>
        <w:t>th</w:t>
      </w:r>
      <w:proofErr w:type="spellEnd"/>
      <w:r w:rsidR="00694C2A">
        <w:rPr>
          <w:color w:val="211D1E"/>
          <w:position w:val="11"/>
          <w:sz w:val="16"/>
          <w:szCs w:val="16"/>
        </w:rPr>
        <w:t xml:space="preserve"> </w:t>
      </w:r>
      <w:r w:rsidR="00694C2A">
        <w:rPr>
          <w:color w:val="211D1E"/>
          <w:spacing w:val="27"/>
          <w:position w:val="11"/>
          <w:sz w:val="16"/>
          <w:szCs w:val="16"/>
        </w:rPr>
        <w:t xml:space="preserve"> </w:t>
      </w:r>
      <w:r w:rsidR="00694C2A">
        <w:rPr>
          <w:color w:val="211D1E"/>
        </w:rPr>
        <w:t>centile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and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is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following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the</w:t>
      </w:r>
      <w:r w:rsidR="00694C2A">
        <w:rPr>
          <w:color w:val="211D1E"/>
          <w:spacing w:val="51"/>
        </w:rPr>
        <w:t xml:space="preserve"> </w:t>
      </w:r>
      <w:r w:rsidR="00694C2A">
        <w:rPr>
          <w:color w:val="211D1E"/>
        </w:rPr>
        <w:t>centile curve,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and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the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liquor</w:t>
      </w:r>
      <w:r w:rsidR="00694C2A">
        <w:rPr>
          <w:color w:val="211D1E"/>
          <w:spacing w:val="1"/>
        </w:rPr>
        <w:t xml:space="preserve"> v</w:t>
      </w:r>
      <w:r w:rsidR="00694C2A">
        <w:rPr>
          <w:color w:val="211D1E"/>
        </w:rPr>
        <w:t>olume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is</w:t>
      </w:r>
      <w:r w:rsidR="00694C2A">
        <w:rPr>
          <w:color w:val="211D1E"/>
          <w:spacing w:val="3"/>
        </w:rPr>
        <w:t xml:space="preserve"> </w:t>
      </w:r>
      <w:r w:rsidR="00694C2A">
        <w:rPr>
          <w:color w:val="211D1E"/>
        </w:rPr>
        <w:t>normal,</w:t>
      </w:r>
      <w:r w:rsidR="00694C2A">
        <w:rPr>
          <w:color w:val="211D1E"/>
          <w:spacing w:val="1"/>
        </w:rPr>
        <w:t xml:space="preserve"> t</w:t>
      </w:r>
      <w:r w:rsidR="00694C2A">
        <w:rPr>
          <w:color w:val="211D1E"/>
        </w:rPr>
        <w:t>he woman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will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be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asked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  <w:spacing w:val="2"/>
        </w:rPr>
        <w:t>t</w:t>
      </w:r>
      <w:r w:rsidR="00694C2A">
        <w:rPr>
          <w:color w:val="211D1E"/>
        </w:rPr>
        <w:t>o attend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her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next antenatal appointment</w:t>
      </w:r>
      <w:r w:rsidR="00694C2A">
        <w:rPr>
          <w:color w:val="211D1E"/>
          <w:spacing w:val="2"/>
        </w:rPr>
        <w:t xml:space="preserve"> </w:t>
      </w:r>
      <w:r w:rsidR="00694C2A">
        <w:rPr>
          <w:color w:val="211D1E"/>
        </w:rPr>
        <w:t>as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planned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(this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should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>already</w:t>
      </w:r>
      <w:r w:rsidR="00694C2A">
        <w:rPr>
          <w:color w:val="211D1E"/>
          <w:spacing w:val="3"/>
        </w:rPr>
        <w:t xml:space="preserve"> </w:t>
      </w:r>
      <w:r w:rsidR="00694C2A">
        <w:rPr>
          <w:color w:val="211D1E"/>
        </w:rPr>
        <w:t>have be</w:t>
      </w:r>
      <w:r w:rsidR="00694C2A">
        <w:rPr>
          <w:color w:val="211D1E"/>
          <w:spacing w:val="1"/>
        </w:rPr>
        <w:t>e</w:t>
      </w:r>
      <w:r w:rsidR="00694C2A">
        <w:rPr>
          <w:color w:val="211D1E"/>
        </w:rPr>
        <w:t>n</w:t>
      </w:r>
      <w:r w:rsidR="00694C2A">
        <w:rPr>
          <w:color w:val="211D1E"/>
          <w:spacing w:val="1"/>
        </w:rPr>
        <w:t xml:space="preserve"> </w:t>
      </w:r>
      <w:r w:rsidR="00694C2A">
        <w:rPr>
          <w:color w:val="211D1E"/>
        </w:rPr>
        <w:t xml:space="preserve">confirmed with the woman by the referring midwife or obstetrician). </w:t>
      </w:r>
      <w:r w:rsidR="00694C2A">
        <w:rPr>
          <w:i/>
          <w:color w:val="211D1E"/>
        </w:rPr>
        <w:t xml:space="preserve">If resources permit a scan EFW should be repeated in 3 </w:t>
      </w:r>
      <w:proofErr w:type="spellStart"/>
      <w:r w:rsidR="00694C2A">
        <w:rPr>
          <w:i/>
          <w:color w:val="211D1E"/>
        </w:rPr>
        <w:t>weeks time</w:t>
      </w:r>
      <w:proofErr w:type="spellEnd"/>
      <w:r w:rsidR="00694C2A">
        <w:rPr>
          <w:i/>
          <w:color w:val="211D1E"/>
        </w:rPr>
        <w:t xml:space="preserve"> to ascertain velocity as a single scan cannot provide reassurance about the growth velocity of the fetus</w:t>
      </w:r>
    </w:p>
    <w:p w:rsidR="00694C2A" w:rsidRDefault="00694C2A" w:rsidP="00694C2A">
      <w:pPr>
        <w:widowControl w:val="0"/>
        <w:autoSpaceDE w:val="0"/>
        <w:autoSpaceDN w:val="0"/>
        <w:adjustRightInd w:val="0"/>
        <w:ind w:left="118" w:right="57"/>
        <w:jc w:val="both"/>
        <w:rPr>
          <w:color w:val="000000"/>
        </w:rPr>
      </w:pPr>
    </w:p>
    <w:p w:rsidR="00694C2A" w:rsidRDefault="00694C2A" w:rsidP="00694C2A">
      <w:pPr>
        <w:widowControl w:val="0"/>
        <w:autoSpaceDE w:val="0"/>
        <w:autoSpaceDN w:val="0"/>
        <w:adjustRightInd w:val="0"/>
        <w:spacing w:before="82"/>
        <w:ind w:right="58"/>
        <w:jc w:val="both"/>
        <w:rPr>
          <w:color w:val="211D1E"/>
        </w:rPr>
      </w:pPr>
      <w:r>
        <w:rPr>
          <w:color w:val="211D1E"/>
        </w:rPr>
        <w:t>If</w:t>
      </w:r>
      <w:r>
        <w:rPr>
          <w:color w:val="211D1E"/>
          <w:spacing w:val="6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EFW</w:t>
      </w:r>
      <w:r>
        <w:rPr>
          <w:color w:val="211D1E"/>
          <w:spacing w:val="2"/>
        </w:rPr>
        <w:t xml:space="preserve"> </w:t>
      </w:r>
      <w:r>
        <w:rPr>
          <w:color w:val="211D1E"/>
        </w:rPr>
        <w:t>does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not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plot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within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10</w:t>
      </w:r>
      <w:proofErr w:type="spellStart"/>
      <w:r>
        <w:rPr>
          <w:color w:val="211D1E"/>
          <w:position w:val="11"/>
          <w:sz w:val="16"/>
          <w:szCs w:val="16"/>
        </w:rPr>
        <w:t>th</w:t>
      </w:r>
      <w:proofErr w:type="spellEnd"/>
      <w:r>
        <w:rPr>
          <w:color w:val="211D1E"/>
          <w:spacing w:val="29"/>
          <w:position w:val="11"/>
          <w:sz w:val="16"/>
          <w:szCs w:val="16"/>
        </w:rPr>
        <w:t xml:space="preserve"> </w:t>
      </w:r>
      <w:r>
        <w:rPr>
          <w:color w:val="211D1E"/>
        </w:rPr>
        <w:t>and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90</w:t>
      </w:r>
      <w:proofErr w:type="spellStart"/>
      <w:r>
        <w:rPr>
          <w:color w:val="211D1E"/>
          <w:position w:val="11"/>
          <w:sz w:val="16"/>
          <w:szCs w:val="16"/>
        </w:rPr>
        <w:t>th</w:t>
      </w:r>
      <w:proofErr w:type="spellEnd"/>
      <w:r>
        <w:rPr>
          <w:color w:val="211D1E"/>
          <w:spacing w:val="29"/>
          <w:position w:val="11"/>
          <w:sz w:val="16"/>
          <w:szCs w:val="16"/>
        </w:rPr>
        <w:t xml:space="preserve"> </w:t>
      </w:r>
      <w:r>
        <w:rPr>
          <w:color w:val="211D1E"/>
        </w:rPr>
        <w:t>centile,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or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is</w:t>
      </w:r>
      <w:r>
        <w:rPr>
          <w:color w:val="211D1E"/>
          <w:spacing w:val="8"/>
        </w:rPr>
        <w:t xml:space="preserve"> </w:t>
      </w:r>
      <w:r>
        <w:rPr>
          <w:color w:val="211D1E"/>
        </w:rPr>
        <w:t>not</w:t>
      </w:r>
      <w:r>
        <w:rPr>
          <w:color w:val="211D1E"/>
          <w:spacing w:val="9"/>
        </w:rPr>
        <w:t xml:space="preserve"> </w:t>
      </w:r>
      <w:r>
        <w:rPr>
          <w:color w:val="211D1E"/>
        </w:rPr>
        <w:t>following</w:t>
      </w:r>
      <w:r>
        <w:rPr>
          <w:color w:val="211D1E"/>
          <w:spacing w:val="7"/>
        </w:rPr>
        <w:t xml:space="preserve"> </w:t>
      </w:r>
      <w:r>
        <w:rPr>
          <w:color w:val="211D1E"/>
        </w:rPr>
        <w:t>a</w:t>
      </w:r>
      <w:r>
        <w:rPr>
          <w:color w:val="211D1E"/>
          <w:spacing w:val="7"/>
        </w:rPr>
        <w:t xml:space="preserve"> </w:t>
      </w:r>
      <w:r>
        <w:rPr>
          <w:color w:val="211D1E"/>
          <w:spacing w:val="1"/>
        </w:rPr>
        <w:t>c</w:t>
      </w:r>
      <w:r>
        <w:rPr>
          <w:color w:val="211D1E"/>
        </w:rPr>
        <w:t xml:space="preserve">entile curve,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or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there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are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con</w:t>
      </w:r>
      <w:r>
        <w:rPr>
          <w:color w:val="211D1E"/>
          <w:spacing w:val="1"/>
        </w:rPr>
        <w:t>c</w:t>
      </w:r>
      <w:r>
        <w:rPr>
          <w:color w:val="211D1E"/>
        </w:rPr>
        <w:t xml:space="preserve">erns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regarding </w:t>
      </w:r>
      <w:r>
        <w:rPr>
          <w:color w:val="211D1E"/>
          <w:spacing w:val="1"/>
        </w:rPr>
        <w:t xml:space="preserve"> </w:t>
      </w:r>
      <w:r>
        <w:rPr>
          <w:color w:val="211D1E"/>
          <w:spacing w:val="2"/>
        </w:rPr>
        <w:t>t</w:t>
      </w:r>
      <w:r>
        <w:rPr>
          <w:color w:val="211D1E"/>
        </w:rPr>
        <w:t xml:space="preserve">he  liquor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volume </w:t>
      </w:r>
      <w:r>
        <w:t>or umbilical artery Doppler,</w:t>
      </w:r>
      <w:r>
        <w:rPr>
          <w:color w:val="211D1E"/>
        </w:rPr>
        <w:t xml:space="preserve"> 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 xml:space="preserve">then </w:t>
      </w:r>
      <w:r>
        <w:rPr>
          <w:color w:val="211D1E"/>
          <w:spacing w:val="1"/>
        </w:rPr>
        <w:t xml:space="preserve"> the patient should be reviewed in the ANC by obstetric team</w:t>
      </w:r>
      <w:r w:rsidR="004867A9" w:rsidRPr="004867A9">
        <w:rPr>
          <w:color w:val="211D1E"/>
        </w:rPr>
        <w:t xml:space="preserve"> </w:t>
      </w:r>
      <w:r w:rsidR="004867A9">
        <w:rPr>
          <w:color w:val="211D1E"/>
        </w:rPr>
        <w:t>to determine the appropriate pathway and level required for investigations and surveillance</w:t>
      </w:r>
      <w:r w:rsidR="004867A9" w:rsidRPr="00D211CC">
        <w:rPr>
          <w:color w:val="211D1E"/>
        </w:rPr>
        <w:t>.</w:t>
      </w:r>
      <w:r>
        <w:rPr>
          <w:color w:val="211D1E"/>
          <w:spacing w:val="1"/>
        </w:rPr>
        <w:t>. FMU advice should be sought if there is significant concern before 32-34 weeks.</w:t>
      </w:r>
    </w:p>
    <w:p w:rsidR="005C1C99" w:rsidRDefault="004867A9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The subsequent management should adhere to the GAP care pathway (Appendix)</w:t>
      </w:r>
    </w:p>
    <w:p w:rsidR="001876C7" w:rsidRDefault="004867A9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When ordering further scans t</w:t>
      </w:r>
      <w:r w:rsidR="005C1C99" w:rsidRPr="00910636">
        <w:rPr>
          <w:rFonts w:cstheme="minorBidi"/>
          <w:szCs w:val="22"/>
          <w:lang w:val="en-GB"/>
        </w:rPr>
        <w:t>he clinician should clearly state the reason for the scan, time frame for the scan and the plan for follow up in the</w:t>
      </w:r>
      <w:r w:rsidR="000F104F">
        <w:rPr>
          <w:rFonts w:cstheme="minorBidi"/>
          <w:szCs w:val="22"/>
          <w:lang w:val="en-GB"/>
        </w:rPr>
        <w:t xml:space="preserve"> </w:t>
      </w:r>
      <w:r w:rsidR="001876C7">
        <w:rPr>
          <w:rFonts w:cstheme="minorBidi"/>
          <w:szCs w:val="22"/>
          <w:lang w:val="en-GB"/>
        </w:rPr>
        <w:t>referral form and ante natal notes</w:t>
      </w:r>
      <w:r w:rsidR="000F104F">
        <w:rPr>
          <w:rFonts w:cstheme="minorBidi"/>
          <w:szCs w:val="22"/>
          <w:lang w:val="en-GB"/>
        </w:rPr>
        <w:t>.</w:t>
      </w:r>
    </w:p>
    <w:p w:rsidR="001876C7" w:rsidRPr="00910636" w:rsidRDefault="001876C7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5C1C99" w:rsidRDefault="005C1C99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The clinician requesting the scan must arrange appropriate follow up after the scan according to the pathway of care. </w:t>
      </w:r>
    </w:p>
    <w:p w:rsidR="00AB3823" w:rsidRDefault="00AB3823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AB3823" w:rsidRDefault="00AB3823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AB3823" w:rsidRDefault="00AB3823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AB3823" w:rsidRPr="00910636" w:rsidRDefault="00AB3823" w:rsidP="005C1C99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910636" w:rsidRPr="00ED4AA2" w:rsidRDefault="00ED4AA2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eastAsiaTheme="majorEastAsia" w:cstheme="majorBidi"/>
          <w:b/>
          <w:bCs/>
          <w:sz w:val="24"/>
          <w:szCs w:val="26"/>
          <w:u w:val="single"/>
          <w:lang w:val="en-GB"/>
        </w:rPr>
      </w:pPr>
      <w:bookmarkStart w:id="4" w:name="_Toc57658350"/>
      <w:r w:rsidRPr="00ED4AA2">
        <w:rPr>
          <w:rFonts w:eastAsiaTheme="majorEastAsia" w:cstheme="majorBidi"/>
          <w:b/>
          <w:bCs/>
          <w:sz w:val="24"/>
          <w:szCs w:val="26"/>
          <w:u w:val="single"/>
          <w:lang w:val="en-GB"/>
        </w:rPr>
        <w:t xml:space="preserve">3.2.3 </w:t>
      </w:r>
      <w:r w:rsidR="00910636" w:rsidRPr="00ED4AA2">
        <w:rPr>
          <w:rFonts w:eastAsiaTheme="majorEastAsia" w:cstheme="majorBidi"/>
          <w:b/>
          <w:bCs/>
          <w:sz w:val="24"/>
          <w:szCs w:val="26"/>
          <w:u w:val="single"/>
          <w:lang w:val="en-GB"/>
        </w:rPr>
        <w:t>Women with risk factors for SGA</w:t>
      </w:r>
      <w:bookmarkEnd w:id="4"/>
    </w:p>
    <w:p w:rsidR="00910636" w:rsidRDefault="00910636" w:rsidP="00910636">
      <w:pPr>
        <w:spacing w:line="276" w:lineRule="auto"/>
        <w:rPr>
          <w:rFonts w:eastAsiaTheme="minorEastAsia" w:cstheme="minorBidi"/>
          <w:szCs w:val="22"/>
          <w:lang w:val="en-GB"/>
        </w:rPr>
      </w:pPr>
      <w:r w:rsidRPr="00910636">
        <w:rPr>
          <w:rFonts w:eastAsiaTheme="minorEastAsia" w:cstheme="minorBidi"/>
          <w:szCs w:val="22"/>
          <w:lang w:val="en-GB"/>
        </w:rPr>
        <w:t xml:space="preserve">If the woman is already under a consultant, clinic appointments and scans should be arranged together, where possible, to avoid duplication of attendances.  </w:t>
      </w:r>
    </w:p>
    <w:p w:rsidR="004867A9" w:rsidRPr="00910636" w:rsidRDefault="004867A9" w:rsidP="00910636">
      <w:pPr>
        <w:spacing w:line="276" w:lineRule="auto"/>
        <w:rPr>
          <w:rFonts w:eastAsiaTheme="minorEastAsia"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Management should adhere to the GAP care pathway (Appendix)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szCs w:val="22"/>
          <w:lang w:val="en-GB"/>
        </w:rPr>
      </w:pPr>
    </w:p>
    <w:p w:rsidR="000F104F" w:rsidRPr="00910636" w:rsidRDefault="000F104F" w:rsidP="000F104F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If a scan is being requested at &lt;3 weekly interval</w:t>
      </w:r>
      <w:r>
        <w:rPr>
          <w:rFonts w:cstheme="minorBidi"/>
          <w:szCs w:val="22"/>
          <w:lang w:val="en-GB"/>
        </w:rPr>
        <w:t>s</w:t>
      </w:r>
      <w:r w:rsidRPr="00910636">
        <w:rPr>
          <w:rFonts w:cstheme="minorBidi"/>
          <w:szCs w:val="22"/>
          <w:lang w:val="en-GB"/>
        </w:rPr>
        <w:t>, the case and indication for scan</w:t>
      </w:r>
      <w:r>
        <w:rPr>
          <w:rFonts w:cstheme="minorBidi"/>
          <w:szCs w:val="22"/>
          <w:lang w:val="en-GB"/>
        </w:rPr>
        <w:t>s</w:t>
      </w:r>
      <w:r w:rsidRPr="00910636">
        <w:rPr>
          <w:rFonts w:cstheme="minorBidi"/>
          <w:szCs w:val="22"/>
          <w:lang w:val="en-GB"/>
        </w:rPr>
        <w:t xml:space="preserve"> should b</w:t>
      </w:r>
      <w:r>
        <w:rPr>
          <w:rFonts w:cstheme="minorBidi"/>
          <w:szCs w:val="22"/>
          <w:lang w:val="en-GB"/>
        </w:rPr>
        <w:t xml:space="preserve">e discussed with a </w:t>
      </w:r>
      <w:r w:rsidRPr="00910636">
        <w:rPr>
          <w:rFonts w:cstheme="minorBidi"/>
          <w:szCs w:val="22"/>
          <w:lang w:val="en-GB"/>
        </w:rPr>
        <w:t xml:space="preserve">consultant. </w:t>
      </w:r>
    </w:p>
    <w:p w:rsidR="00910636" w:rsidRPr="00910636" w:rsidRDefault="00910636" w:rsidP="00910636">
      <w:pPr>
        <w:spacing w:before="0" w:after="200" w:line="276" w:lineRule="auto"/>
        <w:rPr>
          <w:rFonts w:eastAsiaTheme="minorEastAsia" w:cstheme="minorBidi"/>
          <w:szCs w:val="22"/>
          <w:lang w:val="en-GB"/>
        </w:rPr>
        <w:sectPr w:rsidR="00910636" w:rsidRPr="00910636" w:rsidSect="00E55263">
          <w:pgSz w:w="11906" w:h="16838" w:code="9"/>
          <w:pgMar w:top="1134" w:right="1134" w:bottom="1134" w:left="851" w:header="709" w:footer="709" w:gutter="0"/>
          <w:cols w:space="720"/>
          <w:docGrid w:linePitch="360" w:charSpace="28672"/>
        </w:sectPr>
      </w:pPr>
    </w:p>
    <w:p w:rsidR="00910636" w:rsidRPr="00910636" w:rsidRDefault="00180851" w:rsidP="00910636">
      <w:pPr>
        <w:keepNext/>
        <w:keepLines/>
        <w:spacing w:before="240" w:after="60"/>
        <w:ind w:left="432" w:hanging="432"/>
        <w:outlineLvl w:val="0"/>
        <w:rPr>
          <w:rFonts w:cstheme="majorBidi"/>
          <w:b/>
          <w:bCs/>
          <w:sz w:val="28"/>
          <w:szCs w:val="28"/>
          <w:lang w:val="en-GB"/>
        </w:rPr>
      </w:pPr>
      <w:bookmarkStart w:id="5" w:name="_Toc57658353"/>
      <w:r>
        <w:rPr>
          <w:rFonts w:cstheme="majorBidi"/>
          <w:b/>
          <w:bCs/>
          <w:sz w:val="28"/>
          <w:szCs w:val="28"/>
          <w:lang w:val="en-GB"/>
        </w:rPr>
        <w:lastRenderedPageBreak/>
        <w:t xml:space="preserve">3.2.4 </w:t>
      </w:r>
      <w:r w:rsidR="00910636" w:rsidRPr="00910636">
        <w:rPr>
          <w:rFonts w:cstheme="majorBidi"/>
          <w:b/>
          <w:bCs/>
          <w:sz w:val="28"/>
          <w:szCs w:val="28"/>
          <w:lang w:val="en-GB"/>
        </w:rPr>
        <w:t>Growth scan documentation</w:t>
      </w:r>
      <w:bookmarkEnd w:id="5"/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At the growth scan the sonographer should:</w:t>
      </w:r>
    </w:p>
    <w:p w:rsidR="00910636" w:rsidRPr="00910636" w:rsidRDefault="00910636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Confirm dating of the pregnancy by reviewing the previous scans</w:t>
      </w:r>
    </w:p>
    <w:p w:rsidR="00910636" w:rsidRPr="00910636" w:rsidRDefault="00910636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Measure: BPD, HC, AC, FL and EFW (using </w:t>
      </w:r>
      <w:proofErr w:type="spellStart"/>
      <w:r w:rsidRPr="00910636">
        <w:rPr>
          <w:rFonts w:cstheme="minorBidi"/>
          <w:szCs w:val="22"/>
          <w:lang w:val="en-GB"/>
        </w:rPr>
        <w:t>Hadlock</w:t>
      </w:r>
      <w:proofErr w:type="spellEnd"/>
      <w:r w:rsidRPr="00910636">
        <w:rPr>
          <w:rFonts w:cstheme="minorBidi"/>
          <w:szCs w:val="22"/>
          <w:lang w:val="en-GB"/>
        </w:rPr>
        <w:t xml:space="preserve"> charts) </w:t>
      </w:r>
    </w:p>
    <w:p w:rsidR="00910636" w:rsidRPr="00910636" w:rsidRDefault="00ED4AA2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Growth (</w:t>
      </w:r>
      <w:r w:rsidR="00910636" w:rsidRPr="00910636">
        <w:rPr>
          <w:rFonts w:cstheme="minorBidi"/>
          <w:szCs w:val="22"/>
          <w:lang w:val="en-GB"/>
        </w:rPr>
        <w:t>Biometry</w:t>
      </w:r>
      <w:r>
        <w:rPr>
          <w:rFonts w:cstheme="minorBidi"/>
          <w:szCs w:val="22"/>
          <w:lang w:val="en-GB"/>
        </w:rPr>
        <w:t>)will not be performed</w:t>
      </w:r>
      <w:r w:rsidR="00910636" w:rsidRPr="00910636">
        <w:rPr>
          <w:rFonts w:cstheme="minorBidi"/>
          <w:szCs w:val="22"/>
          <w:lang w:val="en-GB"/>
        </w:rPr>
        <w:t xml:space="preserve"> at an interval of less than 2 weeks </w:t>
      </w:r>
    </w:p>
    <w:p w:rsidR="00910636" w:rsidRPr="00910636" w:rsidRDefault="002D6733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A</w:t>
      </w:r>
      <w:r w:rsidR="00910636" w:rsidRPr="00910636">
        <w:rPr>
          <w:rFonts w:cstheme="minorBidi"/>
          <w:szCs w:val="22"/>
          <w:lang w:val="en-GB"/>
        </w:rPr>
        <w:t xml:space="preserve">ssess amniotic fluid volume.  Oligohydramnios is defined as a deepest pool &lt; 2cm at any gestation. Polyhydramnios is defined as a deepest pool &gt; 8cm at any gestation. </w:t>
      </w:r>
    </w:p>
    <w:p w:rsidR="00910636" w:rsidRPr="00910636" w:rsidRDefault="00910636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Document in Viewpoint whether the AFV is normal, oligohydramnios or polyhydramnios. TORCH screens and BM profiles should not be requested unless there are additional features on the ultrasound. </w:t>
      </w:r>
    </w:p>
    <w:p w:rsidR="00910636" w:rsidRPr="000F104F" w:rsidRDefault="00910636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0F104F">
        <w:rPr>
          <w:rFonts w:cstheme="minorBidi"/>
          <w:szCs w:val="22"/>
          <w:lang w:val="en-GB"/>
        </w:rPr>
        <w:t>Measure the umbilical artery Doppler on all growth scans after 24 weeks. Document whether the EDF is positive, absent or reversed and the PI.</w:t>
      </w:r>
    </w:p>
    <w:p w:rsidR="00DE6EB1" w:rsidRPr="000F104F" w:rsidRDefault="00DE6EB1" w:rsidP="00910636">
      <w:pPr>
        <w:numPr>
          <w:ilvl w:val="0"/>
          <w:numId w:val="1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0F104F">
        <w:rPr>
          <w:rFonts w:cstheme="minorBidi"/>
          <w:bCs/>
          <w:szCs w:val="22"/>
          <w:lang w:val="en-GB"/>
        </w:rPr>
        <w:t>If the baby is &lt;10</w:t>
      </w:r>
      <w:r w:rsidRPr="000F104F">
        <w:rPr>
          <w:rFonts w:cstheme="minorBidi"/>
          <w:bCs/>
          <w:szCs w:val="22"/>
          <w:vertAlign w:val="superscript"/>
          <w:lang w:val="en-GB"/>
        </w:rPr>
        <w:t>th</w:t>
      </w:r>
      <w:r w:rsidRPr="000F104F">
        <w:rPr>
          <w:rFonts w:cstheme="minorBidi"/>
          <w:bCs/>
          <w:szCs w:val="22"/>
          <w:lang w:val="en-GB"/>
        </w:rPr>
        <w:t xml:space="preserve"> centile for growth, or if growth velocity is </w:t>
      </w:r>
      <w:proofErr w:type="gramStart"/>
      <w:r w:rsidRPr="000F104F">
        <w:rPr>
          <w:rFonts w:cstheme="minorBidi"/>
          <w:bCs/>
          <w:szCs w:val="22"/>
          <w:lang w:val="en-GB"/>
        </w:rPr>
        <w:t>slowing ,</w:t>
      </w:r>
      <w:proofErr w:type="gramEnd"/>
      <w:r w:rsidRPr="000F104F">
        <w:rPr>
          <w:rFonts w:cstheme="minorBidi"/>
          <w:bCs/>
          <w:szCs w:val="22"/>
          <w:lang w:val="en-GB"/>
        </w:rPr>
        <w:t xml:space="preserve"> an MCA Doppler should be performed </w:t>
      </w:r>
      <w:r w:rsidR="002D6733">
        <w:rPr>
          <w:rFonts w:cstheme="minorBidi"/>
          <w:bCs/>
          <w:szCs w:val="22"/>
          <w:lang w:val="en-GB"/>
        </w:rPr>
        <w:t xml:space="preserve">from </w:t>
      </w:r>
      <w:r w:rsidRPr="000F104F">
        <w:rPr>
          <w:rFonts w:cstheme="minorBidi"/>
          <w:bCs/>
          <w:szCs w:val="22"/>
          <w:lang w:val="en-GB"/>
        </w:rPr>
        <w:t xml:space="preserve"> 34 weeks, even if the umbilical artery Doppler is normal. </w:t>
      </w:r>
    </w:p>
    <w:p w:rsidR="000F104F" w:rsidRDefault="000F104F" w:rsidP="000F104F">
      <w:pPr>
        <w:spacing w:line="276" w:lineRule="auto"/>
        <w:ind w:left="720"/>
        <w:contextualSpacing/>
        <w:rPr>
          <w:rFonts w:cstheme="minorBidi"/>
          <w:bCs/>
          <w:szCs w:val="22"/>
          <w:lang w:val="en-GB"/>
        </w:rPr>
      </w:pPr>
    </w:p>
    <w:p w:rsidR="000F104F" w:rsidRPr="000F104F" w:rsidRDefault="000F104F" w:rsidP="000F104F">
      <w:pPr>
        <w:spacing w:line="276" w:lineRule="auto"/>
        <w:contextualSpacing/>
        <w:rPr>
          <w:rFonts w:cstheme="minorBidi"/>
          <w:szCs w:val="22"/>
          <w:lang w:val="en-GB"/>
        </w:rPr>
      </w:pPr>
    </w:p>
    <w:p w:rsidR="005C1C99" w:rsidRPr="00910636" w:rsidRDefault="005C1C99" w:rsidP="005C1C99">
      <w:pPr>
        <w:spacing w:line="276" w:lineRule="auto"/>
        <w:ind w:left="720"/>
        <w:contextualSpacing/>
        <w:rPr>
          <w:rFonts w:cstheme="minorBidi"/>
          <w:szCs w:val="22"/>
          <w:lang w:val="en-GB"/>
        </w:rPr>
      </w:pPr>
    </w:p>
    <w:p w:rsidR="00910636" w:rsidRPr="00910636" w:rsidRDefault="00180851" w:rsidP="00910636">
      <w:pPr>
        <w:keepNext/>
        <w:keepLines/>
        <w:spacing w:before="240" w:after="60"/>
        <w:ind w:left="432" w:hanging="432"/>
        <w:outlineLvl w:val="0"/>
        <w:rPr>
          <w:rFonts w:eastAsiaTheme="majorEastAsia" w:cstheme="majorBidi"/>
          <w:b/>
          <w:bCs/>
          <w:sz w:val="28"/>
          <w:szCs w:val="28"/>
          <w:lang w:val="en-GB"/>
        </w:rPr>
      </w:pPr>
      <w:bookmarkStart w:id="6" w:name="_Toc57658354"/>
      <w:r>
        <w:rPr>
          <w:rFonts w:eastAsiaTheme="majorEastAsia" w:cstheme="majorBidi"/>
          <w:b/>
          <w:bCs/>
          <w:sz w:val="28"/>
          <w:szCs w:val="28"/>
          <w:lang w:val="en-GB"/>
        </w:rPr>
        <w:t xml:space="preserve">3.2.5 </w:t>
      </w:r>
      <w:r w:rsidR="00910636" w:rsidRPr="00910636">
        <w:rPr>
          <w:rFonts w:eastAsiaTheme="majorEastAsia" w:cstheme="majorBidi"/>
          <w:b/>
          <w:bCs/>
          <w:sz w:val="28"/>
          <w:szCs w:val="28"/>
          <w:lang w:val="en-GB"/>
        </w:rPr>
        <w:t>Management following scan</w:t>
      </w:r>
      <w:bookmarkEnd w:id="6"/>
    </w:p>
    <w:p w:rsidR="00910636" w:rsidRPr="00AB3823" w:rsidRDefault="005C1C99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color w:val="000000" w:themeColor="text1"/>
          <w:sz w:val="24"/>
          <w:szCs w:val="26"/>
          <w:lang w:val="en-GB"/>
        </w:rPr>
      </w:pPr>
      <w:bookmarkStart w:id="7" w:name="_Toc57658355"/>
      <w:r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 xml:space="preserve">3.2.5a </w:t>
      </w:r>
      <w:r w:rsidR="00910636"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>Normal scan</w:t>
      </w:r>
      <w:bookmarkEnd w:id="7"/>
    </w:p>
    <w:p w:rsidR="00910636" w:rsidRPr="00910636" w:rsidRDefault="00910636" w:rsidP="00910636">
      <w:pPr>
        <w:numPr>
          <w:ilvl w:val="0"/>
          <w:numId w:val="28"/>
        </w:numPr>
        <w:spacing w:line="276" w:lineRule="auto"/>
        <w:contextualSpacing/>
        <w:rPr>
          <w:rFonts w:cstheme="minorBidi"/>
          <w:b/>
          <w:color w:val="FF0000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Consistent growth velocity, AC and EFW above 10th centile, normal amniotic fluid volume (AFV) and </w:t>
      </w:r>
      <w:proofErr w:type="spellStart"/>
      <w:r w:rsidRPr="00910636">
        <w:rPr>
          <w:rFonts w:cstheme="minorBidi"/>
          <w:szCs w:val="22"/>
          <w:lang w:val="en-GB"/>
        </w:rPr>
        <w:t>fetal</w:t>
      </w:r>
      <w:proofErr w:type="spellEnd"/>
      <w:r w:rsidRPr="00910636">
        <w:rPr>
          <w:rFonts w:cstheme="minorBidi"/>
          <w:szCs w:val="22"/>
          <w:lang w:val="en-GB"/>
        </w:rPr>
        <w:t xml:space="preserve"> </w:t>
      </w:r>
      <w:proofErr w:type="spellStart"/>
      <w:r w:rsidRPr="00910636">
        <w:rPr>
          <w:rFonts w:cstheme="minorBidi"/>
          <w:szCs w:val="22"/>
          <w:lang w:val="en-GB"/>
        </w:rPr>
        <w:t>Dopplers</w:t>
      </w:r>
      <w:proofErr w:type="spellEnd"/>
      <w:r w:rsidRPr="00910636">
        <w:rPr>
          <w:rFonts w:cstheme="minorBidi"/>
          <w:szCs w:val="22"/>
          <w:lang w:val="en-GB"/>
        </w:rPr>
        <w:t xml:space="preserve">. </w:t>
      </w:r>
    </w:p>
    <w:p w:rsidR="005C1C99" w:rsidRPr="005C1C99" w:rsidRDefault="005C1C99" w:rsidP="00910636">
      <w:pPr>
        <w:numPr>
          <w:ilvl w:val="0"/>
          <w:numId w:val="28"/>
        </w:numPr>
        <w:spacing w:line="276" w:lineRule="auto"/>
        <w:contextualSpacing/>
        <w:rPr>
          <w:rFonts w:cstheme="minorBidi"/>
          <w:b/>
          <w:color w:val="FF0000"/>
          <w:szCs w:val="22"/>
          <w:lang w:val="en-GB"/>
        </w:rPr>
      </w:pPr>
      <w:r>
        <w:rPr>
          <w:rFonts w:cstheme="minorBidi"/>
          <w:szCs w:val="22"/>
          <w:lang w:val="en-GB"/>
        </w:rPr>
        <w:t>Woman can</w:t>
      </w:r>
      <w:r w:rsidR="00910636" w:rsidRPr="00910636">
        <w:rPr>
          <w:rFonts w:cstheme="minorBidi"/>
          <w:szCs w:val="22"/>
          <w:lang w:val="en-GB"/>
        </w:rPr>
        <w:t xml:space="preserve"> be reassured by the sonographer. </w:t>
      </w:r>
    </w:p>
    <w:p w:rsidR="00910636" w:rsidRPr="00910636" w:rsidRDefault="00910636" w:rsidP="005C1C99">
      <w:pPr>
        <w:spacing w:line="276" w:lineRule="auto"/>
        <w:ind w:left="1080"/>
        <w:contextualSpacing/>
        <w:rPr>
          <w:rFonts w:cstheme="minorBidi"/>
          <w:b/>
          <w:color w:val="FF0000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She does NOT routinely need to see a </w:t>
      </w:r>
      <w:r w:rsidR="005C1C99">
        <w:rPr>
          <w:rFonts w:cstheme="minorBidi"/>
          <w:szCs w:val="22"/>
          <w:lang w:val="en-GB"/>
        </w:rPr>
        <w:t xml:space="preserve">midwife or </w:t>
      </w:r>
      <w:r w:rsidRPr="00910636">
        <w:rPr>
          <w:rFonts w:cstheme="minorBidi"/>
          <w:szCs w:val="22"/>
          <w:lang w:val="en-GB"/>
        </w:rPr>
        <w:t xml:space="preserve">doctor </w:t>
      </w:r>
      <w:r w:rsidR="005C1C99">
        <w:rPr>
          <w:rFonts w:cstheme="minorBidi"/>
          <w:szCs w:val="22"/>
          <w:lang w:val="en-GB"/>
        </w:rPr>
        <w:t xml:space="preserve">immediately </w:t>
      </w:r>
      <w:r w:rsidRPr="00910636">
        <w:rPr>
          <w:rFonts w:cstheme="minorBidi"/>
          <w:szCs w:val="22"/>
          <w:lang w:val="en-GB"/>
        </w:rPr>
        <w:t xml:space="preserve">after each scan. </w:t>
      </w:r>
    </w:p>
    <w:p w:rsidR="00910636" w:rsidRPr="00910636" w:rsidRDefault="00910636" w:rsidP="00910636">
      <w:pPr>
        <w:numPr>
          <w:ilvl w:val="0"/>
          <w:numId w:val="28"/>
        </w:numPr>
        <w:spacing w:line="276" w:lineRule="auto"/>
        <w:contextualSpacing/>
        <w:rPr>
          <w:rFonts w:eastAsiaTheme="minorEastAsia" w:cstheme="minorBidi"/>
          <w:szCs w:val="22"/>
          <w:lang w:val="en-GB"/>
        </w:rPr>
      </w:pPr>
      <w:r w:rsidRPr="00910636">
        <w:rPr>
          <w:rFonts w:eastAsiaTheme="minorEastAsia" w:cstheme="minorBidi"/>
          <w:szCs w:val="22"/>
          <w:lang w:val="en-GB"/>
        </w:rPr>
        <w:t>Ensure appropriate FU arranged with MW as per AN care schedule</w:t>
      </w:r>
    </w:p>
    <w:p w:rsidR="00910636" w:rsidRPr="00910636" w:rsidRDefault="00910636" w:rsidP="00910636">
      <w:pPr>
        <w:spacing w:before="0" w:after="200" w:line="276" w:lineRule="auto"/>
        <w:rPr>
          <w:rFonts w:eastAsiaTheme="majorEastAsia" w:cstheme="majorBidi"/>
          <w:b/>
          <w:bCs/>
          <w:color w:val="00B050"/>
          <w:sz w:val="24"/>
          <w:szCs w:val="26"/>
          <w:lang w:val="en-GB"/>
        </w:rPr>
      </w:pPr>
      <w:r w:rsidRPr="00910636">
        <w:rPr>
          <w:rFonts w:eastAsiaTheme="minorEastAsia" w:cstheme="minorBidi"/>
          <w:color w:val="00B050"/>
          <w:szCs w:val="22"/>
          <w:lang w:val="en-GB"/>
        </w:rPr>
        <w:br w:type="page"/>
      </w:r>
    </w:p>
    <w:p w:rsidR="00910636" w:rsidRPr="00AB3823" w:rsidRDefault="005C1C99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color w:val="000000" w:themeColor="text1"/>
          <w:sz w:val="24"/>
          <w:szCs w:val="26"/>
          <w:lang w:val="en-GB"/>
        </w:rPr>
      </w:pPr>
      <w:bookmarkStart w:id="8" w:name="_Toc57658357"/>
      <w:r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lastRenderedPageBreak/>
        <w:t>3.2.5</w:t>
      </w:r>
      <w:r w:rsidR="00C675A9"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>b</w:t>
      </w:r>
      <w:r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 xml:space="preserve"> </w:t>
      </w:r>
      <w:r w:rsidR="00910636"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 xml:space="preserve">SGA - normal </w:t>
      </w:r>
      <w:proofErr w:type="spellStart"/>
      <w:r w:rsidR="00910636"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>fetal</w:t>
      </w:r>
      <w:proofErr w:type="spellEnd"/>
      <w:r w:rsidR="00910636" w:rsidRPr="00AB3823">
        <w:rPr>
          <w:rFonts w:cstheme="majorBidi"/>
          <w:b/>
          <w:bCs/>
          <w:color w:val="000000" w:themeColor="text1"/>
          <w:sz w:val="24"/>
          <w:szCs w:val="26"/>
          <w:lang w:val="en-GB"/>
        </w:rPr>
        <w:t xml:space="preserve"> </w:t>
      </w:r>
      <w:proofErr w:type="spellStart"/>
      <w:r w:rsidR="00910636" w:rsidRPr="00AB3823">
        <w:rPr>
          <w:rFonts w:eastAsiaTheme="majorEastAsia" w:cstheme="majorBidi"/>
          <w:b/>
          <w:bCs/>
          <w:color w:val="000000" w:themeColor="text1"/>
          <w:sz w:val="24"/>
          <w:szCs w:val="26"/>
          <w:lang w:val="en-GB"/>
        </w:rPr>
        <w:t>Dopplers</w:t>
      </w:r>
      <w:proofErr w:type="spellEnd"/>
      <w:r w:rsidR="00910636" w:rsidRPr="00AB3823">
        <w:rPr>
          <w:rFonts w:eastAsiaTheme="majorEastAsia" w:cstheme="majorBidi"/>
          <w:b/>
          <w:bCs/>
          <w:color w:val="000000" w:themeColor="text1"/>
          <w:sz w:val="24"/>
          <w:szCs w:val="26"/>
          <w:lang w:val="en-GB"/>
        </w:rPr>
        <w:t xml:space="preserve"> (less than 36+0 weeks)</w:t>
      </w:r>
      <w:bookmarkEnd w:id="8"/>
    </w:p>
    <w:p w:rsidR="00910636" w:rsidRDefault="00910636" w:rsidP="00910636">
      <w:pPr>
        <w:numPr>
          <w:ilvl w:val="0"/>
          <w:numId w:val="3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AC &lt;10th centile or EFW &lt; 10</w:t>
      </w:r>
      <w:r w:rsidRPr="00910636">
        <w:rPr>
          <w:rFonts w:cstheme="minorBidi"/>
          <w:szCs w:val="22"/>
          <w:vertAlign w:val="superscript"/>
          <w:lang w:val="en-GB"/>
        </w:rPr>
        <w:t>th</w:t>
      </w:r>
      <w:r w:rsidRPr="00910636">
        <w:rPr>
          <w:rFonts w:cstheme="minorBidi"/>
          <w:szCs w:val="22"/>
          <w:lang w:val="en-GB"/>
        </w:rPr>
        <w:t xml:space="preserve"> centile </w:t>
      </w:r>
    </w:p>
    <w:p w:rsidR="002D6733" w:rsidRPr="00910636" w:rsidRDefault="002D6733" w:rsidP="00910636">
      <w:pPr>
        <w:numPr>
          <w:ilvl w:val="0"/>
          <w:numId w:val="31"/>
        </w:num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Slow or static growth</w:t>
      </w:r>
    </w:p>
    <w:p w:rsidR="00180851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Refer for review in </w:t>
      </w:r>
      <w:r w:rsidR="00ED4AA2" w:rsidRPr="00AB3823">
        <w:rPr>
          <w:rFonts w:cstheme="minorBidi"/>
          <w:szCs w:val="22"/>
          <w:lang w:val="en-GB"/>
        </w:rPr>
        <w:t>ANC</w:t>
      </w:r>
      <w:r w:rsidR="00ED4AA2">
        <w:rPr>
          <w:rFonts w:cstheme="minorBidi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 xml:space="preserve">on the day of the scan. </w:t>
      </w:r>
    </w:p>
    <w:p w:rsidR="00910636" w:rsidRPr="00910636" w:rsidRDefault="00180851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Midwife</w:t>
      </w:r>
      <w:r w:rsidR="00910636" w:rsidRPr="00910636">
        <w:rPr>
          <w:rFonts w:cstheme="minorBidi"/>
          <w:szCs w:val="22"/>
          <w:lang w:val="en-GB"/>
        </w:rPr>
        <w:t>:</w:t>
      </w:r>
    </w:p>
    <w:p w:rsidR="00910636" w:rsidRPr="00910636" w:rsidRDefault="00910636" w:rsidP="00910636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Review the antenatal notes and history</w:t>
      </w:r>
    </w:p>
    <w:p w:rsidR="00910636" w:rsidRPr="00910636" w:rsidRDefault="00910636" w:rsidP="00910636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Ask about fetal movements</w:t>
      </w:r>
    </w:p>
    <w:p w:rsidR="00910636" w:rsidRPr="00910636" w:rsidRDefault="00910636" w:rsidP="00910636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BP and urine dip</w:t>
      </w:r>
    </w:p>
    <w:p w:rsidR="00910636" w:rsidRPr="00910636" w:rsidRDefault="00910636" w:rsidP="00ED4AA2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If there are no other concerns (normal FM, normal BP and urinalysis with an oth</w:t>
      </w:r>
      <w:r w:rsidR="00ED4AA2">
        <w:rPr>
          <w:rFonts w:cstheme="minorBidi"/>
          <w:szCs w:val="22"/>
          <w:lang w:val="en-GB"/>
        </w:rPr>
        <w:t>erwise low risk pregnancy) then g</w:t>
      </w:r>
      <w:r w:rsidRPr="00910636">
        <w:rPr>
          <w:rFonts w:cstheme="minorBidi"/>
          <w:szCs w:val="22"/>
          <w:lang w:val="en-GB"/>
        </w:rPr>
        <w:t xml:space="preserve">ive advice about reduced fetal movements </w:t>
      </w:r>
    </w:p>
    <w:p w:rsidR="005C1C99" w:rsidRDefault="005C1C99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Consultant:</w:t>
      </w:r>
    </w:p>
    <w:p w:rsidR="00910636" w:rsidRDefault="00F9435A" w:rsidP="0066425A">
      <w:pPr>
        <w:widowControl w:val="0"/>
        <w:autoSpaceDE w:val="0"/>
        <w:autoSpaceDN w:val="0"/>
        <w:adjustRightInd w:val="0"/>
        <w:spacing w:before="82"/>
        <w:ind w:right="58"/>
        <w:jc w:val="both"/>
        <w:rPr>
          <w:color w:val="211D1E"/>
          <w:spacing w:val="1"/>
        </w:rPr>
      </w:pPr>
      <w:r>
        <w:rPr>
          <w:rFonts w:cstheme="minorBidi"/>
          <w:szCs w:val="22"/>
          <w:lang w:val="en-GB"/>
        </w:rPr>
        <w:t>T</w:t>
      </w:r>
      <w:r w:rsidR="00910636" w:rsidRPr="00910636">
        <w:rPr>
          <w:rFonts w:cstheme="minorBidi"/>
          <w:szCs w:val="22"/>
          <w:lang w:val="en-GB"/>
        </w:rPr>
        <w:t xml:space="preserve">he woman should be reviewed by the Consultant </w:t>
      </w:r>
      <w:r w:rsidR="00ED4AA2">
        <w:rPr>
          <w:rFonts w:cstheme="minorBidi"/>
          <w:szCs w:val="22"/>
          <w:lang w:val="en-GB"/>
        </w:rPr>
        <w:t>in ANC a</w:t>
      </w:r>
      <w:r w:rsidR="00910636" w:rsidRPr="00910636">
        <w:rPr>
          <w:rFonts w:cstheme="minorBidi"/>
          <w:szCs w:val="22"/>
          <w:lang w:val="en-GB"/>
        </w:rPr>
        <w:t>nd an individual plan made</w:t>
      </w:r>
      <w:r w:rsidR="0066425A">
        <w:rPr>
          <w:rFonts w:cstheme="minorBidi"/>
          <w:szCs w:val="22"/>
          <w:lang w:val="en-GB"/>
        </w:rPr>
        <w:t xml:space="preserve"> regarding further monitoring</w:t>
      </w:r>
      <w:r w:rsidR="00910636" w:rsidRPr="00910636">
        <w:rPr>
          <w:rFonts w:cstheme="minorBidi"/>
          <w:szCs w:val="22"/>
          <w:lang w:val="en-GB"/>
        </w:rPr>
        <w:t xml:space="preserve">. </w:t>
      </w:r>
      <w:r w:rsidR="0066425A">
        <w:rPr>
          <w:rFonts w:cstheme="minorBidi"/>
          <w:szCs w:val="22"/>
          <w:lang w:val="en-GB"/>
        </w:rPr>
        <w:t xml:space="preserve">Consideration of risk factors for stillbirth should be </w:t>
      </w:r>
      <w:r w:rsidR="002D6733">
        <w:rPr>
          <w:rFonts w:cstheme="minorBidi"/>
          <w:szCs w:val="22"/>
          <w:lang w:val="en-GB"/>
        </w:rPr>
        <w:t>ta</w:t>
      </w:r>
      <w:r w:rsidR="0066425A">
        <w:rPr>
          <w:rFonts w:cstheme="minorBidi"/>
          <w:szCs w:val="22"/>
          <w:lang w:val="en-GB"/>
        </w:rPr>
        <w:t xml:space="preserve">ken into account. </w:t>
      </w:r>
      <w:r>
        <w:rPr>
          <w:color w:val="211D1E"/>
          <w:spacing w:val="1"/>
        </w:rPr>
        <w:t>FMU advice should be sought if there is significant concern before 32-34 weeks.</w:t>
      </w:r>
    </w:p>
    <w:p w:rsidR="0066425A" w:rsidRPr="00910636" w:rsidRDefault="0066425A" w:rsidP="0066425A">
      <w:pPr>
        <w:widowControl w:val="0"/>
        <w:autoSpaceDE w:val="0"/>
        <w:autoSpaceDN w:val="0"/>
        <w:adjustRightInd w:val="0"/>
        <w:spacing w:before="82"/>
        <w:ind w:right="58"/>
        <w:jc w:val="both"/>
        <w:rPr>
          <w:rFonts w:cstheme="minorBidi"/>
          <w:szCs w:val="22"/>
          <w:lang w:val="en-GB"/>
        </w:rPr>
      </w:pPr>
    </w:p>
    <w:p w:rsidR="00180851" w:rsidRPr="00910636" w:rsidRDefault="00180851" w:rsidP="00180851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CTG monitoring in DAU should not be required for these women unless at the request of a consultant.</w:t>
      </w:r>
    </w:p>
    <w:p w:rsidR="00910636" w:rsidRPr="00AB3823" w:rsidRDefault="005C1C99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sz w:val="24"/>
          <w:szCs w:val="26"/>
          <w:lang w:val="en-GB"/>
        </w:rPr>
      </w:pPr>
      <w:bookmarkStart w:id="9" w:name="_Toc57658358"/>
      <w:r w:rsidRPr="00AB3823">
        <w:rPr>
          <w:rFonts w:cstheme="majorBidi"/>
          <w:b/>
          <w:bCs/>
          <w:sz w:val="24"/>
          <w:szCs w:val="26"/>
          <w:lang w:val="en-GB"/>
        </w:rPr>
        <w:t>3.2.5</w:t>
      </w:r>
      <w:r w:rsidR="00C675A9" w:rsidRPr="00AB3823">
        <w:rPr>
          <w:rFonts w:cstheme="majorBidi"/>
          <w:b/>
          <w:bCs/>
          <w:sz w:val="24"/>
          <w:szCs w:val="26"/>
          <w:lang w:val="en-GB"/>
        </w:rPr>
        <w:t>c</w:t>
      </w:r>
      <w:r w:rsidRPr="00AB3823">
        <w:rPr>
          <w:rFonts w:cstheme="majorBidi"/>
          <w:b/>
          <w:bCs/>
          <w:sz w:val="24"/>
          <w:szCs w:val="26"/>
          <w:lang w:val="en-GB"/>
        </w:rPr>
        <w:t xml:space="preserve"> </w:t>
      </w:r>
      <w:r w:rsidR="00910636" w:rsidRPr="00AB3823">
        <w:rPr>
          <w:rFonts w:cstheme="majorBidi"/>
          <w:b/>
          <w:bCs/>
          <w:sz w:val="24"/>
          <w:szCs w:val="26"/>
          <w:lang w:val="en-GB"/>
        </w:rPr>
        <w:t>SGA after 36 weeks gestation:</w:t>
      </w:r>
      <w:bookmarkEnd w:id="9"/>
      <w:r w:rsidR="00910636" w:rsidRPr="00AB3823">
        <w:rPr>
          <w:rFonts w:cstheme="majorBidi"/>
          <w:b/>
          <w:bCs/>
          <w:sz w:val="24"/>
          <w:szCs w:val="26"/>
          <w:lang w:val="en-GB"/>
        </w:rPr>
        <w:t xml:space="preserve"> </w:t>
      </w:r>
    </w:p>
    <w:p w:rsidR="005C1C99" w:rsidRPr="00910636" w:rsidRDefault="005C1C99" w:rsidP="005C1C99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Midwife</w:t>
      </w:r>
      <w:r w:rsidRPr="00910636">
        <w:rPr>
          <w:rFonts w:cstheme="minorBidi"/>
          <w:szCs w:val="22"/>
          <w:lang w:val="en-GB"/>
        </w:rPr>
        <w:t>:</w:t>
      </w:r>
    </w:p>
    <w:p w:rsidR="005C1C99" w:rsidRPr="00910636" w:rsidRDefault="005C1C99" w:rsidP="005C1C99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Review the antenatal notes and history</w:t>
      </w:r>
    </w:p>
    <w:p w:rsidR="005C1C99" w:rsidRPr="00910636" w:rsidRDefault="005C1C99" w:rsidP="005C1C99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Ask about fetal movements</w:t>
      </w:r>
    </w:p>
    <w:p w:rsidR="005C1C99" w:rsidRDefault="005C1C99" w:rsidP="00910636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BP and urine dip</w:t>
      </w:r>
    </w:p>
    <w:p w:rsidR="00910636" w:rsidRPr="005C1C99" w:rsidRDefault="00910636" w:rsidP="00910636">
      <w:pPr>
        <w:numPr>
          <w:ilvl w:val="0"/>
          <w:numId w:val="29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5C1C99">
        <w:rPr>
          <w:rFonts w:cstheme="minorBidi"/>
          <w:szCs w:val="22"/>
          <w:lang w:val="en-GB"/>
        </w:rPr>
        <w:t xml:space="preserve">All women need a medical review </w:t>
      </w:r>
    </w:p>
    <w:p w:rsidR="005C1C99" w:rsidRDefault="005C1C99" w:rsidP="00910636">
      <w:pPr>
        <w:spacing w:line="276" w:lineRule="auto"/>
        <w:rPr>
          <w:rFonts w:cstheme="minorBidi"/>
          <w:szCs w:val="22"/>
          <w:lang w:val="en-GB"/>
        </w:rPr>
      </w:pPr>
    </w:p>
    <w:p w:rsidR="005C1C99" w:rsidRDefault="005C1C99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Consultant:</w:t>
      </w:r>
    </w:p>
    <w:p w:rsidR="00910636" w:rsidRPr="00910636" w:rsidRDefault="00910636" w:rsidP="00910636">
      <w:pPr>
        <w:spacing w:line="276" w:lineRule="auto"/>
        <w:rPr>
          <w:rFonts w:cstheme="minorBidi"/>
          <w:color w:val="FF0000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EFW </w:t>
      </w:r>
      <w:r w:rsidR="004867A9">
        <w:rPr>
          <w:rFonts w:cstheme="minorBidi"/>
          <w:szCs w:val="22"/>
          <w:lang w:val="en-GB"/>
        </w:rPr>
        <w:t>3</w:t>
      </w:r>
      <w:r w:rsidRPr="00910636">
        <w:rPr>
          <w:rFonts w:cstheme="minorBidi"/>
          <w:szCs w:val="22"/>
          <w:lang w:val="en-GB"/>
        </w:rPr>
        <w:t>-10</w:t>
      </w:r>
      <w:r w:rsidRPr="00910636">
        <w:rPr>
          <w:rFonts w:cstheme="minorBidi"/>
          <w:szCs w:val="22"/>
          <w:vertAlign w:val="superscript"/>
          <w:lang w:val="en-GB"/>
        </w:rPr>
        <w:t>th</w:t>
      </w:r>
      <w:r w:rsidRPr="00910636">
        <w:rPr>
          <w:rFonts w:cstheme="minorBidi"/>
          <w:szCs w:val="22"/>
          <w:lang w:val="en-GB"/>
        </w:rPr>
        <w:t xml:space="preserve"> centile delivery should be initiated at 39+0 weeks   if there is </w:t>
      </w:r>
      <w:r w:rsidRPr="00910636">
        <w:rPr>
          <w:rFonts w:cstheme="minorBidi"/>
          <w:color w:val="000000"/>
          <w:szCs w:val="22"/>
          <w:lang w:val="en-GB"/>
        </w:rPr>
        <w:t>normal growth velocity, normal AFV and Doppler’s</w:t>
      </w:r>
    </w:p>
    <w:p w:rsidR="00910636" w:rsidRPr="00910636" w:rsidRDefault="004867A9" w:rsidP="00910636">
      <w:pPr>
        <w:spacing w:line="276" w:lineRule="auto"/>
        <w:rPr>
          <w:rFonts w:cstheme="minorBidi"/>
          <w:color w:val="FF0000"/>
          <w:szCs w:val="22"/>
          <w:lang w:val="en-GB"/>
        </w:rPr>
      </w:pPr>
      <w:r>
        <w:rPr>
          <w:rFonts w:cstheme="minorBidi"/>
          <w:szCs w:val="22"/>
          <w:lang w:val="en-GB"/>
        </w:rPr>
        <w:t>EFW &lt; 3</w:t>
      </w:r>
      <w:r w:rsidRPr="006658E8">
        <w:rPr>
          <w:rFonts w:cstheme="minorBidi"/>
          <w:szCs w:val="22"/>
          <w:vertAlign w:val="superscript"/>
          <w:lang w:val="en-GB"/>
        </w:rPr>
        <w:t>rd</w:t>
      </w:r>
      <w:r>
        <w:rPr>
          <w:rFonts w:cstheme="minorBidi"/>
          <w:szCs w:val="22"/>
          <w:lang w:val="en-GB"/>
        </w:rPr>
        <w:t xml:space="preserve"> </w:t>
      </w:r>
      <w:proofErr w:type="gramStart"/>
      <w:r w:rsidR="00910636" w:rsidRPr="00910636">
        <w:rPr>
          <w:rFonts w:cstheme="minorBidi"/>
          <w:szCs w:val="22"/>
          <w:lang w:val="en-GB"/>
        </w:rPr>
        <w:t xml:space="preserve">centile </w:t>
      </w:r>
      <w:r>
        <w:rPr>
          <w:rFonts w:cstheme="minorBidi"/>
          <w:szCs w:val="22"/>
          <w:lang w:val="en-GB"/>
        </w:rPr>
        <w:t>,</w:t>
      </w:r>
      <w:proofErr w:type="gramEnd"/>
      <w:r>
        <w:rPr>
          <w:rFonts w:cstheme="minorBidi"/>
          <w:szCs w:val="22"/>
          <w:lang w:val="en-GB"/>
        </w:rPr>
        <w:t xml:space="preserve"> </w:t>
      </w:r>
      <w:r w:rsidRPr="00CB0712">
        <w:rPr>
          <w:rFonts w:cstheme="minorBidi"/>
          <w:b/>
          <w:szCs w:val="22"/>
          <w:lang w:val="en-GB"/>
        </w:rPr>
        <w:t>or</w:t>
      </w:r>
      <w:r>
        <w:rPr>
          <w:rFonts w:cstheme="minorBidi"/>
          <w:szCs w:val="22"/>
          <w:lang w:val="en-GB"/>
        </w:rPr>
        <w:t xml:space="preserve"> slow/static growth </w:t>
      </w:r>
      <w:r w:rsidRPr="00CB0712">
        <w:rPr>
          <w:rFonts w:cstheme="minorBidi"/>
          <w:b/>
          <w:szCs w:val="22"/>
          <w:lang w:val="en-GB"/>
        </w:rPr>
        <w:t>or</w:t>
      </w:r>
      <w:r>
        <w:rPr>
          <w:rFonts w:cstheme="minorBidi"/>
          <w:szCs w:val="22"/>
          <w:lang w:val="en-GB"/>
        </w:rPr>
        <w:t xml:space="preserve"> abnormal </w:t>
      </w:r>
      <w:proofErr w:type="spellStart"/>
      <w:r>
        <w:rPr>
          <w:rFonts w:cstheme="minorBidi"/>
          <w:szCs w:val="22"/>
          <w:lang w:val="en-GB"/>
        </w:rPr>
        <w:t>dopplers</w:t>
      </w:r>
      <w:proofErr w:type="spellEnd"/>
      <w:r>
        <w:rPr>
          <w:rFonts w:cstheme="minorBidi"/>
          <w:szCs w:val="22"/>
          <w:lang w:val="en-GB"/>
        </w:rPr>
        <w:t xml:space="preserve"> </w:t>
      </w:r>
      <w:r w:rsidR="00910636" w:rsidRPr="00910636">
        <w:rPr>
          <w:rFonts w:cstheme="minorBidi"/>
          <w:szCs w:val="22"/>
          <w:lang w:val="en-GB"/>
        </w:rPr>
        <w:t xml:space="preserve">should be delivered </w:t>
      </w:r>
      <w:r w:rsidR="00BB4107">
        <w:rPr>
          <w:rFonts w:cstheme="minorBidi"/>
          <w:szCs w:val="22"/>
          <w:lang w:val="en-GB"/>
        </w:rPr>
        <w:t>no later than</w:t>
      </w:r>
      <w:r w:rsidR="00910636" w:rsidRPr="00910636">
        <w:rPr>
          <w:rFonts w:cstheme="minorBidi"/>
          <w:szCs w:val="22"/>
          <w:lang w:val="en-GB"/>
        </w:rPr>
        <w:t xml:space="preserve"> 37 weeks</w:t>
      </w:r>
      <w:r w:rsidR="00EB6843">
        <w:rPr>
          <w:rFonts w:cstheme="minorBidi"/>
          <w:szCs w:val="22"/>
          <w:lang w:val="en-GB"/>
        </w:rPr>
        <w:t>,</w:t>
      </w:r>
      <w:r w:rsidR="00910636" w:rsidRPr="00910636">
        <w:rPr>
          <w:rFonts w:cstheme="minorBidi"/>
          <w:szCs w:val="22"/>
          <w:lang w:val="en-GB"/>
        </w:rPr>
        <w:t xml:space="preserve"> </w:t>
      </w:r>
    </w:p>
    <w:p w:rsidR="00910636" w:rsidRPr="00AB3823" w:rsidRDefault="005C1C99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sz w:val="24"/>
          <w:szCs w:val="26"/>
          <w:lang w:val="en-GB"/>
        </w:rPr>
      </w:pPr>
      <w:bookmarkStart w:id="10" w:name="_Toc57658359"/>
      <w:proofErr w:type="gramStart"/>
      <w:r w:rsidRPr="00AB3823">
        <w:rPr>
          <w:rFonts w:cstheme="majorBidi"/>
          <w:b/>
          <w:bCs/>
          <w:sz w:val="24"/>
          <w:szCs w:val="26"/>
          <w:lang w:val="en-GB"/>
        </w:rPr>
        <w:t>3.2.5</w:t>
      </w:r>
      <w:r w:rsidR="00C675A9" w:rsidRPr="00AB3823">
        <w:rPr>
          <w:rFonts w:cstheme="majorBidi"/>
          <w:b/>
          <w:bCs/>
          <w:sz w:val="24"/>
          <w:szCs w:val="26"/>
          <w:lang w:val="en-GB"/>
        </w:rPr>
        <w:t>d</w:t>
      </w:r>
      <w:r w:rsidRPr="00AB3823">
        <w:rPr>
          <w:rFonts w:cstheme="majorBidi"/>
          <w:b/>
          <w:bCs/>
          <w:sz w:val="24"/>
          <w:szCs w:val="26"/>
          <w:lang w:val="en-GB"/>
        </w:rPr>
        <w:t xml:space="preserve"> </w:t>
      </w:r>
      <w:r w:rsidR="00910636" w:rsidRPr="00AB3823">
        <w:rPr>
          <w:rFonts w:cstheme="majorBidi"/>
          <w:b/>
          <w:bCs/>
          <w:sz w:val="24"/>
          <w:szCs w:val="26"/>
          <w:lang w:val="en-GB"/>
        </w:rPr>
        <w:t>Normal growth.</w:t>
      </w:r>
      <w:proofErr w:type="gramEnd"/>
      <w:r w:rsidR="00910636" w:rsidRPr="00AB3823">
        <w:rPr>
          <w:rFonts w:cstheme="majorBidi"/>
          <w:b/>
          <w:bCs/>
          <w:sz w:val="24"/>
          <w:szCs w:val="26"/>
          <w:lang w:val="en-GB"/>
        </w:rPr>
        <w:t xml:space="preserve"> Incidental finding of oligohydramnios</w:t>
      </w:r>
      <w:bookmarkEnd w:id="10"/>
    </w:p>
    <w:p w:rsid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Normal growth. Reduced AFV (deepest pool &lt; 2cm) </w:t>
      </w:r>
    </w:p>
    <w:p w:rsidR="0066425A" w:rsidRPr="0066425A" w:rsidRDefault="0066425A" w:rsidP="0066425A">
      <w:pPr>
        <w:pStyle w:val="ListParagraph"/>
        <w:numPr>
          <w:ilvl w:val="0"/>
          <w:numId w:val="41"/>
        </w:numPr>
      </w:pPr>
      <w:r w:rsidRPr="0066425A">
        <w:t xml:space="preserve">The woman should be reviewed </w:t>
      </w:r>
    </w:p>
    <w:p w:rsidR="00910636" w:rsidRP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Review the antenatal notes and history</w:t>
      </w:r>
    </w:p>
    <w:p w:rsidR="00910636" w:rsidRP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Ask about fetal movements</w:t>
      </w:r>
    </w:p>
    <w:p w:rsidR="00910636" w:rsidRP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Ask about a history of PROM</w:t>
      </w:r>
    </w:p>
    <w:p w:rsidR="00910636" w:rsidRP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Check observations: temperature / Pulse / BP</w:t>
      </w:r>
    </w:p>
    <w:p w:rsidR="00910636" w:rsidRDefault="00910636" w:rsidP="0066425A">
      <w:pPr>
        <w:numPr>
          <w:ilvl w:val="0"/>
          <w:numId w:val="41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Perform a speculum if the history suggestive of PROM</w:t>
      </w:r>
    </w:p>
    <w:p w:rsidR="005C1C99" w:rsidRPr="00910636" w:rsidRDefault="005C1C99" w:rsidP="005C1C99">
      <w:pPr>
        <w:spacing w:line="276" w:lineRule="auto"/>
        <w:ind w:left="1080"/>
        <w:contextualSpacing/>
        <w:rPr>
          <w:rFonts w:cstheme="minorBidi"/>
          <w:szCs w:val="22"/>
          <w:lang w:val="en-GB"/>
        </w:rPr>
      </w:pPr>
    </w:p>
    <w:p w:rsidR="005C1C99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CTG monitoring should not be required for these women (unless they are diagnosed as having PROM) unless at the request of the consultant. 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If greater than 37 weeks induction of labour should be </w:t>
      </w:r>
      <w:r w:rsidR="0066425A">
        <w:rPr>
          <w:rFonts w:cstheme="minorBidi"/>
          <w:szCs w:val="22"/>
          <w:lang w:val="en-GB"/>
        </w:rPr>
        <w:t>consider</w:t>
      </w:r>
      <w:r w:rsidRPr="00910636">
        <w:rPr>
          <w:rFonts w:cstheme="minorBidi"/>
          <w:szCs w:val="22"/>
          <w:lang w:val="en-GB"/>
        </w:rPr>
        <w:t xml:space="preserve">ed.  </w:t>
      </w:r>
    </w:p>
    <w:p w:rsidR="00910636" w:rsidRPr="00910636" w:rsidRDefault="00910636" w:rsidP="00910636">
      <w:pPr>
        <w:spacing w:before="0" w:after="0"/>
        <w:ind w:left="360"/>
        <w:contextualSpacing/>
        <w:jc w:val="both"/>
        <w:rPr>
          <w:rFonts w:asciiTheme="minorHAnsi" w:hAnsiTheme="minorHAnsi" w:cstheme="minorHAnsi"/>
          <w:bCs/>
          <w:sz w:val="20"/>
          <w:highlight w:val="yellow"/>
          <w:lang w:val="en-GB"/>
        </w:rPr>
      </w:pPr>
    </w:p>
    <w:p w:rsidR="00910636" w:rsidRPr="00AB3823" w:rsidRDefault="005C1C99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sz w:val="24"/>
          <w:szCs w:val="26"/>
          <w:lang w:val="en-GB"/>
        </w:rPr>
      </w:pPr>
      <w:bookmarkStart w:id="11" w:name="_Toc57658360"/>
      <w:r w:rsidRPr="00AB3823">
        <w:rPr>
          <w:rFonts w:cstheme="majorBidi"/>
          <w:b/>
          <w:bCs/>
          <w:sz w:val="24"/>
          <w:szCs w:val="26"/>
          <w:lang w:val="en-GB"/>
        </w:rPr>
        <w:t>3.2.5</w:t>
      </w:r>
      <w:r w:rsidR="00C675A9" w:rsidRPr="00AB3823">
        <w:rPr>
          <w:rFonts w:cstheme="majorBidi"/>
          <w:b/>
          <w:bCs/>
          <w:sz w:val="24"/>
          <w:szCs w:val="26"/>
          <w:lang w:val="en-GB"/>
        </w:rPr>
        <w:t>e</w:t>
      </w:r>
      <w:r w:rsidRPr="00AB3823">
        <w:rPr>
          <w:rFonts w:cstheme="majorBidi"/>
          <w:b/>
          <w:bCs/>
          <w:sz w:val="24"/>
          <w:szCs w:val="26"/>
          <w:lang w:val="en-GB"/>
        </w:rPr>
        <w:t xml:space="preserve"> </w:t>
      </w:r>
      <w:r w:rsidR="00910636" w:rsidRPr="00AB3823">
        <w:rPr>
          <w:rFonts w:cstheme="majorBidi"/>
          <w:b/>
          <w:bCs/>
          <w:sz w:val="24"/>
          <w:szCs w:val="26"/>
          <w:lang w:val="en-GB"/>
        </w:rPr>
        <w:t>Incidental Doppler abnormality NOT SGA</w:t>
      </w:r>
      <w:bookmarkEnd w:id="11"/>
    </w:p>
    <w:p w:rsidR="00910636" w:rsidRPr="00910636" w:rsidRDefault="00910636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AC and EFW &gt;10</w:t>
      </w:r>
      <w:r w:rsidRPr="00910636">
        <w:rPr>
          <w:rFonts w:cstheme="minorBidi"/>
          <w:szCs w:val="22"/>
          <w:vertAlign w:val="superscript"/>
          <w:lang w:val="en-GB"/>
        </w:rPr>
        <w:t>th</w:t>
      </w:r>
      <w:r w:rsidRPr="00910636">
        <w:rPr>
          <w:rFonts w:cstheme="minorBidi"/>
          <w:szCs w:val="22"/>
          <w:lang w:val="en-GB"/>
        </w:rPr>
        <w:t xml:space="preserve"> centile</w:t>
      </w:r>
    </w:p>
    <w:p w:rsidR="00910636" w:rsidRPr="00910636" w:rsidRDefault="00910636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eastAsiaTheme="minorEastAsia" w:cstheme="minorBidi"/>
          <w:szCs w:val="22"/>
          <w:lang w:val="en-GB"/>
        </w:rPr>
        <w:t>Umbilical PI&gt;95th centile (positive EDF) or MCA&lt;10th (redistribution</w:t>
      </w:r>
      <w:r w:rsidRPr="00910636">
        <w:rPr>
          <w:rFonts w:cstheme="minorBidi"/>
          <w:szCs w:val="22"/>
          <w:lang w:val="en-GB"/>
        </w:rPr>
        <w:t>)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</w:p>
    <w:p w:rsidR="00910636" w:rsidRPr="00180851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180851">
        <w:rPr>
          <w:rFonts w:cstheme="minorBidi"/>
          <w:szCs w:val="22"/>
          <w:lang w:val="en-GB"/>
        </w:rPr>
        <w:t>Sonographer</w:t>
      </w:r>
      <w:r w:rsidR="00180851">
        <w:rPr>
          <w:rFonts w:cstheme="minorBidi"/>
          <w:szCs w:val="22"/>
          <w:lang w:val="en-GB"/>
        </w:rPr>
        <w:t>: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Check biometry &gt;10</w:t>
      </w:r>
      <w:r w:rsidRPr="00910636">
        <w:rPr>
          <w:rFonts w:cstheme="minorBidi"/>
          <w:szCs w:val="22"/>
          <w:vertAlign w:val="superscript"/>
          <w:lang w:val="en-GB"/>
        </w:rPr>
        <w:t>th</w:t>
      </w:r>
      <w:r w:rsidRPr="00910636">
        <w:rPr>
          <w:rFonts w:cstheme="minorBidi"/>
          <w:szCs w:val="22"/>
          <w:lang w:val="en-GB"/>
        </w:rPr>
        <w:t xml:space="preserve"> centile and FM normal, ensure technically adequate measurement, repeat if necessary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Refer</w:t>
      </w:r>
      <w:r w:rsidR="00180851">
        <w:rPr>
          <w:rFonts w:cstheme="minorBidi"/>
          <w:szCs w:val="22"/>
          <w:lang w:val="en-GB"/>
        </w:rPr>
        <w:t xml:space="preserve"> for </w:t>
      </w:r>
      <w:r w:rsidR="00180851" w:rsidRPr="00AB3823">
        <w:rPr>
          <w:rFonts w:cstheme="minorBidi"/>
          <w:szCs w:val="22"/>
          <w:lang w:val="en-GB"/>
        </w:rPr>
        <w:t>consultant review in ANC</w:t>
      </w:r>
      <w:r w:rsidRPr="00910636">
        <w:rPr>
          <w:rFonts w:cstheme="minorBidi"/>
          <w:szCs w:val="22"/>
          <w:lang w:val="en-GB"/>
        </w:rPr>
        <w:t xml:space="preserve"> on the day of the scan. </w:t>
      </w:r>
    </w:p>
    <w:p w:rsidR="00910636" w:rsidRPr="00180851" w:rsidRDefault="00180851" w:rsidP="00910636">
      <w:pPr>
        <w:spacing w:line="276" w:lineRule="auto"/>
        <w:rPr>
          <w:rFonts w:cstheme="minorBidi"/>
          <w:b/>
          <w:szCs w:val="22"/>
          <w:lang w:val="en-GB"/>
        </w:rPr>
      </w:pPr>
      <w:r>
        <w:rPr>
          <w:rFonts w:cstheme="minorBidi"/>
          <w:szCs w:val="22"/>
          <w:lang w:val="en-GB"/>
        </w:rPr>
        <w:t>Midwife</w:t>
      </w:r>
      <w:r w:rsidR="00910636" w:rsidRPr="00180851">
        <w:rPr>
          <w:rFonts w:cstheme="minorBidi"/>
          <w:szCs w:val="22"/>
          <w:lang w:val="en-GB"/>
        </w:rPr>
        <w:t>:</w:t>
      </w:r>
    </w:p>
    <w:p w:rsidR="00910636" w:rsidRPr="00910636" w:rsidRDefault="00910636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Review the antenatal notes and history</w:t>
      </w:r>
    </w:p>
    <w:p w:rsidR="00910636" w:rsidRPr="00910636" w:rsidRDefault="00910636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Ask about fetal movements</w:t>
      </w:r>
    </w:p>
    <w:p w:rsidR="00910636" w:rsidRPr="00910636" w:rsidRDefault="00910636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Check BP and urine dip</w:t>
      </w:r>
    </w:p>
    <w:p w:rsidR="00910636" w:rsidRPr="00910636" w:rsidRDefault="00180851" w:rsidP="00910636">
      <w:pPr>
        <w:numPr>
          <w:ilvl w:val="0"/>
          <w:numId w:val="33"/>
        </w:num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Perform a </w:t>
      </w:r>
      <w:r w:rsidR="00910636" w:rsidRPr="00910636">
        <w:rPr>
          <w:rFonts w:cstheme="minorBidi"/>
          <w:szCs w:val="22"/>
          <w:lang w:val="en-GB"/>
        </w:rPr>
        <w:t>CTG if any concern about FM</w:t>
      </w:r>
    </w:p>
    <w:p w:rsidR="002D6733" w:rsidRDefault="002D6733" w:rsidP="00910636">
      <w:pPr>
        <w:spacing w:line="276" w:lineRule="auto"/>
        <w:rPr>
          <w:rFonts w:cstheme="minorBidi"/>
          <w:szCs w:val="22"/>
          <w:lang w:val="en-GB"/>
        </w:rPr>
      </w:pPr>
    </w:p>
    <w:p w:rsidR="00180851" w:rsidRDefault="00180851" w:rsidP="00910636">
      <w:pPr>
        <w:spacing w:line="276" w:lineRule="auto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Consultant: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If &lt;36 week</w:t>
      </w:r>
      <w:r w:rsidR="00180851">
        <w:rPr>
          <w:rFonts w:cstheme="minorBidi"/>
          <w:szCs w:val="22"/>
          <w:lang w:val="en-GB"/>
        </w:rPr>
        <w:t>s</w:t>
      </w:r>
      <w:r w:rsidRPr="00910636">
        <w:rPr>
          <w:rFonts w:cstheme="minorBidi"/>
          <w:szCs w:val="22"/>
          <w:lang w:val="en-GB"/>
        </w:rPr>
        <w:t xml:space="preserve"> and no additional concern identified rescan in 1 week for Doppler with a review in ANC.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If &gt;36 weeks - There is a need to consider timing of delivery (usually at 37 weeks) if persistent redistribution or UAPI&gt;95</w:t>
      </w:r>
      <w:r w:rsidRPr="00910636">
        <w:rPr>
          <w:rFonts w:cstheme="minorBidi"/>
          <w:szCs w:val="22"/>
          <w:vertAlign w:val="superscript"/>
          <w:lang w:val="en-GB"/>
        </w:rPr>
        <w:t>th</w:t>
      </w:r>
      <w:r w:rsidRPr="00910636">
        <w:rPr>
          <w:rFonts w:cstheme="minorBidi"/>
          <w:szCs w:val="22"/>
          <w:lang w:val="en-GB"/>
        </w:rPr>
        <w:t xml:space="preserve"> is confirmed. 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 clear plan of management and follow up should be made.</w:t>
      </w:r>
    </w:p>
    <w:p w:rsidR="00910636" w:rsidRPr="00AB3823" w:rsidRDefault="004D2708" w:rsidP="00910636">
      <w:pPr>
        <w:keepNext/>
        <w:keepLines/>
        <w:numPr>
          <w:ilvl w:val="1"/>
          <w:numId w:val="0"/>
        </w:numPr>
        <w:spacing w:before="240" w:after="60"/>
        <w:ind w:left="576" w:hanging="576"/>
        <w:outlineLvl w:val="1"/>
        <w:rPr>
          <w:rFonts w:cstheme="majorBidi"/>
          <w:b/>
          <w:bCs/>
          <w:sz w:val="24"/>
          <w:szCs w:val="26"/>
          <w:lang w:val="en-GB"/>
        </w:rPr>
      </w:pPr>
      <w:bookmarkStart w:id="12" w:name="_Toc57658361"/>
      <w:r w:rsidRPr="00AB3823">
        <w:rPr>
          <w:rFonts w:cstheme="majorBidi"/>
          <w:b/>
          <w:bCs/>
          <w:sz w:val="24"/>
          <w:szCs w:val="26"/>
          <w:lang w:val="en-GB"/>
        </w:rPr>
        <w:t xml:space="preserve">3.2.5g </w:t>
      </w:r>
      <w:bookmarkEnd w:id="12"/>
    </w:p>
    <w:p w:rsidR="00910636" w:rsidRPr="00AB3823" w:rsidRDefault="00910636" w:rsidP="00910636">
      <w:pPr>
        <w:keepNext/>
        <w:keepLines/>
        <w:numPr>
          <w:ilvl w:val="2"/>
          <w:numId w:val="0"/>
        </w:numPr>
        <w:spacing w:before="240" w:after="60"/>
        <w:ind w:left="720" w:hanging="720"/>
        <w:outlineLvl w:val="2"/>
        <w:rPr>
          <w:rFonts w:cstheme="majorBidi"/>
          <w:b/>
          <w:bCs/>
          <w:szCs w:val="22"/>
          <w:lang w:val="en-GB"/>
        </w:rPr>
      </w:pPr>
      <w:bookmarkStart w:id="13" w:name="_Toc57658362"/>
      <w:r w:rsidRPr="00AB3823">
        <w:rPr>
          <w:rFonts w:cs="Arial"/>
          <w:b/>
          <w:bCs/>
          <w:sz w:val="24"/>
          <w:szCs w:val="24"/>
          <w:lang w:val="en-GB"/>
        </w:rPr>
        <w:t>Absent or Reversed EDF in the umbilical artery</w:t>
      </w:r>
      <w:bookmarkEnd w:id="13"/>
    </w:p>
    <w:p w:rsidR="00910636" w:rsidRPr="00910636" w:rsidRDefault="00910636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Arrange computerised CTG (if more than 26 weeks)</w:t>
      </w:r>
    </w:p>
    <w:p w:rsidR="00910636" w:rsidRDefault="00910636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Urgent discussion and review by </w:t>
      </w:r>
      <w:r w:rsidR="00180851" w:rsidRPr="00AB3823">
        <w:rPr>
          <w:rFonts w:cstheme="minorBidi"/>
          <w:szCs w:val="22"/>
          <w:lang w:val="en-GB"/>
        </w:rPr>
        <w:t>Consultant in ANC / On call consultant</w:t>
      </w:r>
    </w:p>
    <w:p w:rsidR="00180851" w:rsidRPr="00AB3823" w:rsidRDefault="00180851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AB3823">
        <w:rPr>
          <w:rFonts w:cstheme="minorBidi"/>
          <w:szCs w:val="22"/>
          <w:lang w:val="en-GB"/>
        </w:rPr>
        <w:t>Consider in-utero transfer out if &lt;28 weeks</w:t>
      </w:r>
    </w:p>
    <w:p w:rsidR="00910636" w:rsidRPr="00910636" w:rsidRDefault="00910636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Reversed EDF deliver if &gt;</w:t>
      </w:r>
      <w:r w:rsidR="00BB4107">
        <w:rPr>
          <w:rFonts w:cstheme="minorBidi"/>
          <w:szCs w:val="22"/>
          <w:lang w:val="en-GB"/>
        </w:rPr>
        <w:t>32</w:t>
      </w:r>
      <w:r w:rsidR="00BB4107" w:rsidRPr="00910636">
        <w:rPr>
          <w:rFonts w:cstheme="minorBidi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 xml:space="preserve">weeks </w:t>
      </w:r>
    </w:p>
    <w:p w:rsidR="00BB4107" w:rsidRDefault="00910636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Absent EDF deliver if &gt;</w:t>
      </w:r>
      <w:r w:rsidR="00BB4107">
        <w:rPr>
          <w:rFonts w:cstheme="minorBidi"/>
          <w:szCs w:val="22"/>
          <w:lang w:val="en-GB"/>
        </w:rPr>
        <w:t>34</w:t>
      </w:r>
      <w:r w:rsidR="00BB4107" w:rsidRPr="00910636">
        <w:rPr>
          <w:rFonts w:cstheme="minorBidi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weeks</w:t>
      </w:r>
    </w:p>
    <w:p w:rsidR="00910636" w:rsidRPr="00910636" w:rsidRDefault="00BB4107" w:rsidP="00910636">
      <w:pPr>
        <w:numPr>
          <w:ilvl w:val="0"/>
          <w:numId w:val="34"/>
        </w:numPr>
        <w:spacing w:line="276" w:lineRule="auto"/>
        <w:contextualSpacing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(</w:t>
      </w:r>
      <w:r w:rsidR="00EB6843">
        <w:rPr>
          <w:rFonts w:cstheme="minorBidi"/>
          <w:szCs w:val="22"/>
          <w:lang w:val="en-GB"/>
        </w:rPr>
        <w:t xml:space="preserve"> intermittent absent EDF</w:t>
      </w:r>
      <w:r>
        <w:rPr>
          <w:rFonts w:cstheme="minorBidi"/>
          <w:szCs w:val="22"/>
          <w:lang w:val="en-GB"/>
        </w:rPr>
        <w:t xml:space="preserve"> – consultant review and discussion)</w:t>
      </w:r>
    </w:p>
    <w:p w:rsidR="00910636" w:rsidRPr="00910636" w:rsidRDefault="00910636" w:rsidP="00910636">
      <w:pPr>
        <w:spacing w:before="0" w:after="0"/>
        <w:rPr>
          <w:rFonts w:cs="Arial"/>
          <w:bCs/>
          <w:sz w:val="24"/>
          <w:szCs w:val="24"/>
          <w:highlight w:val="yellow"/>
          <w:lang w:val="en-GB"/>
        </w:rPr>
      </w:pPr>
    </w:p>
    <w:p w:rsidR="00910636" w:rsidRPr="00AB3823" w:rsidRDefault="004D2708" w:rsidP="00910636">
      <w:pPr>
        <w:keepNext/>
        <w:keepLines/>
        <w:numPr>
          <w:ilvl w:val="2"/>
          <w:numId w:val="0"/>
        </w:numPr>
        <w:spacing w:before="240" w:after="60"/>
        <w:ind w:left="720" w:hanging="720"/>
        <w:outlineLvl w:val="2"/>
        <w:rPr>
          <w:rFonts w:eastAsiaTheme="majorEastAsia" w:cstheme="majorBidi"/>
          <w:b/>
          <w:bCs/>
          <w:sz w:val="24"/>
          <w:szCs w:val="24"/>
          <w:lang w:val="en-GB"/>
        </w:rPr>
      </w:pPr>
      <w:bookmarkStart w:id="14" w:name="_Toc57658363"/>
      <w:r w:rsidRPr="00AB3823">
        <w:rPr>
          <w:rFonts w:eastAsiaTheme="majorEastAsia" w:cstheme="majorBidi"/>
          <w:b/>
          <w:bCs/>
          <w:sz w:val="24"/>
          <w:szCs w:val="24"/>
          <w:lang w:val="en-GB"/>
        </w:rPr>
        <w:t xml:space="preserve">3.2.5h </w:t>
      </w:r>
      <w:r w:rsidR="00910636" w:rsidRPr="00AB3823">
        <w:rPr>
          <w:rFonts w:eastAsiaTheme="majorEastAsia" w:cstheme="majorBidi"/>
          <w:b/>
          <w:bCs/>
          <w:sz w:val="24"/>
          <w:szCs w:val="24"/>
          <w:lang w:val="en-GB"/>
        </w:rPr>
        <w:t xml:space="preserve">SGA and Umbilical PI&gt;95th centile / MCA&lt;10th (redistribution) </w:t>
      </w:r>
      <w:bookmarkEnd w:id="14"/>
    </w:p>
    <w:p w:rsidR="00910636" w:rsidRPr="00910636" w:rsidRDefault="00910636" w:rsidP="00910636">
      <w:pPr>
        <w:spacing w:line="276" w:lineRule="auto"/>
        <w:rPr>
          <w:rFonts w:cstheme="minorBidi"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 xml:space="preserve">The clinical context </w:t>
      </w:r>
      <w:r w:rsidRPr="00910636">
        <w:rPr>
          <w:rFonts w:cstheme="minorBidi"/>
          <w:b/>
          <w:bCs/>
          <w:szCs w:val="22"/>
          <w:lang w:val="en-GB"/>
        </w:rPr>
        <w:t>must</w:t>
      </w:r>
      <w:r w:rsidRPr="00910636">
        <w:rPr>
          <w:rFonts w:cstheme="minorBidi"/>
          <w:bCs/>
          <w:szCs w:val="22"/>
          <w:lang w:val="en-GB"/>
        </w:rPr>
        <w:t xml:space="preserve"> be taken into account in interpreting fetal growth and Doppler. </w:t>
      </w:r>
    </w:p>
    <w:p w:rsidR="00910636" w:rsidRPr="00910636" w:rsidRDefault="00910636" w:rsidP="00910636">
      <w:pPr>
        <w:spacing w:line="276" w:lineRule="auto"/>
        <w:rPr>
          <w:rFonts w:cstheme="minorBidi"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 xml:space="preserve">Refer for review in </w:t>
      </w:r>
      <w:r w:rsidR="00180851" w:rsidRPr="00AB3823">
        <w:rPr>
          <w:rFonts w:cstheme="minorBidi"/>
          <w:bCs/>
          <w:szCs w:val="22"/>
          <w:lang w:val="en-GB"/>
        </w:rPr>
        <w:t xml:space="preserve">ANC / </w:t>
      </w:r>
      <w:r w:rsidRPr="00AB3823">
        <w:rPr>
          <w:rFonts w:cstheme="minorBidi"/>
          <w:bCs/>
          <w:szCs w:val="22"/>
          <w:lang w:val="en-GB"/>
        </w:rPr>
        <w:t>DAU</w:t>
      </w:r>
      <w:r w:rsidRPr="00910636">
        <w:rPr>
          <w:rFonts w:cstheme="minorBidi"/>
          <w:bCs/>
          <w:szCs w:val="22"/>
          <w:lang w:val="en-GB"/>
        </w:rPr>
        <w:t xml:space="preserve"> on the day of the scan. 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>Midwife:</w:t>
      </w:r>
    </w:p>
    <w:p w:rsidR="00910636" w:rsidRPr="00910636" w:rsidRDefault="00910636" w:rsidP="00910636">
      <w:pPr>
        <w:numPr>
          <w:ilvl w:val="0"/>
          <w:numId w:val="35"/>
        </w:numPr>
        <w:spacing w:line="276" w:lineRule="auto"/>
        <w:contextualSpacing/>
        <w:rPr>
          <w:rFonts w:cstheme="minorBidi"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>Review the antenatal notes and history</w:t>
      </w:r>
    </w:p>
    <w:p w:rsidR="00910636" w:rsidRPr="00910636" w:rsidRDefault="00910636" w:rsidP="00910636">
      <w:pPr>
        <w:numPr>
          <w:ilvl w:val="0"/>
          <w:numId w:val="35"/>
        </w:numPr>
        <w:spacing w:line="276" w:lineRule="auto"/>
        <w:contextualSpacing/>
        <w:rPr>
          <w:rFonts w:cstheme="minorBidi"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>Ask about fetal movements</w:t>
      </w:r>
    </w:p>
    <w:p w:rsidR="00910636" w:rsidRPr="00910636" w:rsidRDefault="00910636" w:rsidP="00910636">
      <w:pPr>
        <w:numPr>
          <w:ilvl w:val="0"/>
          <w:numId w:val="35"/>
        </w:numPr>
        <w:spacing w:line="276" w:lineRule="auto"/>
        <w:contextualSpacing/>
        <w:rPr>
          <w:rFonts w:cstheme="minorBidi"/>
          <w:bCs/>
          <w:szCs w:val="22"/>
          <w:lang w:val="en-GB"/>
        </w:rPr>
      </w:pPr>
      <w:r w:rsidRPr="00910636">
        <w:rPr>
          <w:rFonts w:cstheme="minorBidi"/>
          <w:bCs/>
          <w:szCs w:val="22"/>
          <w:lang w:val="en-GB"/>
        </w:rPr>
        <w:t>Check BP and urine dip</w:t>
      </w:r>
    </w:p>
    <w:p w:rsidR="00910636" w:rsidRDefault="00180851" w:rsidP="00910636">
      <w:pPr>
        <w:numPr>
          <w:ilvl w:val="0"/>
          <w:numId w:val="35"/>
        </w:numPr>
        <w:spacing w:line="276" w:lineRule="auto"/>
        <w:contextualSpacing/>
        <w:rPr>
          <w:rFonts w:cstheme="minorBidi"/>
          <w:bCs/>
          <w:szCs w:val="22"/>
          <w:lang w:val="en-GB"/>
        </w:rPr>
      </w:pPr>
      <w:r>
        <w:rPr>
          <w:rFonts w:cstheme="minorBidi"/>
          <w:bCs/>
          <w:szCs w:val="22"/>
          <w:lang w:val="en-GB"/>
        </w:rPr>
        <w:t xml:space="preserve">Perform a </w:t>
      </w:r>
      <w:r w:rsidR="00910636" w:rsidRPr="00910636">
        <w:rPr>
          <w:rFonts w:cstheme="minorBidi"/>
          <w:bCs/>
          <w:szCs w:val="22"/>
          <w:lang w:val="en-GB"/>
        </w:rPr>
        <w:t xml:space="preserve">CTG </w:t>
      </w:r>
    </w:p>
    <w:p w:rsidR="005C1C99" w:rsidRPr="00910636" w:rsidRDefault="005C1C99" w:rsidP="005C1C99">
      <w:pPr>
        <w:spacing w:line="276" w:lineRule="auto"/>
        <w:ind w:left="720"/>
        <w:contextualSpacing/>
        <w:rPr>
          <w:rFonts w:cstheme="minorBidi"/>
          <w:bCs/>
          <w:szCs w:val="22"/>
          <w:lang w:val="en-GB"/>
        </w:rPr>
      </w:pPr>
    </w:p>
    <w:p w:rsidR="00910636" w:rsidRPr="005C1C99" w:rsidRDefault="005C1C99" w:rsidP="00910636">
      <w:pPr>
        <w:spacing w:line="276" w:lineRule="auto"/>
        <w:rPr>
          <w:rFonts w:cstheme="minorBidi"/>
          <w:szCs w:val="22"/>
          <w:lang w:val="en-GB"/>
        </w:rPr>
      </w:pPr>
      <w:r w:rsidRPr="005C1C99">
        <w:rPr>
          <w:rFonts w:cstheme="minorBidi"/>
          <w:szCs w:val="22"/>
          <w:lang w:val="en-GB"/>
        </w:rPr>
        <w:t>Consultant: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i/>
          <w:szCs w:val="22"/>
          <w:lang w:val="en-GB"/>
        </w:rPr>
      </w:pPr>
      <w:r w:rsidRPr="00910636">
        <w:rPr>
          <w:rFonts w:cstheme="minorBidi"/>
          <w:i/>
          <w:szCs w:val="22"/>
          <w:lang w:val="en-GB"/>
        </w:rPr>
        <w:lastRenderedPageBreak/>
        <w:t>Between 24 – 36 weeks’ gestation:</w:t>
      </w:r>
    </w:p>
    <w:p w:rsid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Timing of delivery for preterm SGA or FGR should be made by </w:t>
      </w:r>
      <w:r w:rsidR="00180851">
        <w:rPr>
          <w:rFonts w:cstheme="minorBidi"/>
          <w:szCs w:val="22"/>
          <w:lang w:val="en-GB"/>
        </w:rPr>
        <w:t>Consultant only</w:t>
      </w:r>
    </w:p>
    <w:p w:rsidR="00180851" w:rsidRPr="00910636" w:rsidRDefault="00180851" w:rsidP="00910636">
      <w:pPr>
        <w:spacing w:line="276" w:lineRule="auto"/>
        <w:rPr>
          <w:rFonts w:cstheme="minorBidi"/>
          <w:szCs w:val="22"/>
          <w:lang w:val="en-GB"/>
        </w:rPr>
      </w:pPr>
      <w:r w:rsidRPr="00AB3823">
        <w:rPr>
          <w:rFonts w:cstheme="minorBidi"/>
          <w:szCs w:val="22"/>
          <w:lang w:val="en-GB"/>
        </w:rPr>
        <w:t>Consider referral to</w:t>
      </w:r>
      <w:r w:rsidR="00EB6843">
        <w:rPr>
          <w:rFonts w:cstheme="minorBidi"/>
          <w:szCs w:val="22"/>
          <w:lang w:val="en-GB"/>
        </w:rPr>
        <w:t>,</w:t>
      </w:r>
      <w:r w:rsidRPr="00AB3823">
        <w:rPr>
          <w:rFonts w:cstheme="minorBidi"/>
          <w:szCs w:val="22"/>
          <w:lang w:val="en-GB"/>
        </w:rPr>
        <w:t xml:space="preserve"> or discussion with</w:t>
      </w:r>
      <w:r w:rsidR="00EB6843">
        <w:rPr>
          <w:rFonts w:cstheme="minorBidi"/>
          <w:szCs w:val="22"/>
          <w:lang w:val="en-GB"/>
        </w:rPr>
        <w:t>,</w:t>
      </w:r>
      <w:r w:rsidRPr="00AB3823">
        <w:rPr>
          <w:rFonts w:cstheme="minorBidi"/>
          <w:szCs w:val="22"/>
          <w:lang w:val="en-GB"/>
        </w:rPr>
        <w:t xml:space="preserve"> Southampton FMU</w:t>
      </w:r>
    </w:p>
    <w:p w:rsidR="00381C7D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Delivery will be determined by a combination of computerised </w:t>
      </w:r>
      <w:proofErr w:type="gramStart"/>
      <w:r w:rsidRPr="00910636">
        <w:rPr>
          <w:rFonts w:cstheme="minorBidi"/>
          <w:szCs w:val="22"/>
          <w:lang w:val="en-GB"/>
        </w:rPr>
        <w:t xml:space="preserve">CTG </w:t>
      </w:r>
      <w:r w:rsidR="00381C7D">
        <w:rPr>
          <w:rFonts w:cstheme="minorBidi"/>
          <w:szCs w:val="22"/>
          <w:lang w:val="en-GB"/>
        </w:rPr>
        <w:t>,EFW</w:t>
      </w:r>
      <w:proofErr w:type="gramEnd"/>
      <w:r w:rsidR="00381C7D">
        <w:rPr>
          <w:rFonts w:cstheme="minorBidi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 xml:space="preserve">and </w:t>
      </w:r>
      <w:proofErr w:type="spellStart"/>
      <w:r w:rsidRPr="00910636">
        <w:rPr>
          <w:rFonts w:cstheme="minorBidi"/>
          <w:szCs w:val="22"/>
          <w:lang w:val="en-GB"/>
        </w:rPr>
        <w:t>Doppler</w:t>
      </w:r>
      <w:r w:rsidR="00381C7D">
        <w:rPr>
          <w:rFonts w:cstheme="minorBidi"/>
          <w:szCs w:val="22"/>
          <w:lang w:val="en-GB"/>
        </w:rPr>
        <w:t>s</w:t>
      </w:r>
      <w:proofErr w:type="spellEnd"/>
      <w:r w:rsidR="00BB4107">
        <w:rPr>
          <w:rFonts w:cstheme="minorBidi"/>
          <w:szCs w:val="22"/>
          <w:lang w:val="en-GB"/>
        </w:rPr>
        <w:t xml:space="preserve">, including CPR </w:t>
      </w:r>
      <w:proofErr w:type="spellStart"/>
      <w:r w:rsidR="00BB4107">
        <w:rPr>
          <w:rFonts w:cstheme="minorBidi"/>
          <w:szCs w:val="22"/>
          <w:lang w:val="en-GB"/>
        </w:rPr>
        <w:t>MoM</w:t>
      </w:r>
      <w:proofErr w:type="spellEnd"/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Steroids should be considered if delivery is anticipated &lt; 3</w:t>
      </w:r>
      <w:r w:rsidR="00A85DBD">
        <w:rPr>
          <w:rFonts w:cstheme="minorBidi"/>
          <w:szCs w:val="22"/>
          <w:lang w:val="en-GB"/>
        </w:rPr>
        <w:t>5</w:t>
      </w:r>
      <w:r w:rsidRPr="00910636">
        <w:rPr>
          <w:rFonts w:cstheme="minorBidi"/>
          <w:szCs w:val="22"/>
          <w:lang w:val="en-GB"/>
        </w:rPr>
        <w:t xml:space="preserve"> weeks.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Magnesium sulphate should be </w:t>
      </w:r>
      <w:r w:rsidR="00BB4107">
        <w:rPr>
          <w:rFonts w:cstheme="minorBidi"/>
          <w:szCs w:val="22"/>
          <w:lang w:val="en-GB"/>
        </w:rPr>
        <w:t>considered</w:t>
      </w:r>
      <w:r w:rsidR="00BB4107" w:rsidRPr="00910636">
        <w:rPr>
          <w:rFonts w:cstheme="minorBidi"/>
          <w:szCs w:val="22"/>
          <w:lang w:val="en-GB"/>
        </w:rPr>
        <w:t xml:space="preserve"> </w:t>
      </w:r>
      <w:r w:rsidRPr="00910636">
        <w:rPr>
          <w:rFonts w:cstheme="minorBidi"/>
          <w:szCs w:val="22"/>
          <w:lang w:val="en-GB"/>
        </w:rPr>
        <w:t>(as per the prete</w:t>
      </w:r>
      <w:r w:rsidR="005C1C99">
        <w:rPr>
          <w:rFonts w:cstheme="minorBidi"/>
          <w:szCs w:val="22"/>
          <w:lang w:val="en-GB"/>
        </w:rPr>
        <w:t xml:space="preserve">rm labour guideline), for all </w:t>
      </w:r>
      <w:proofErr w:type="spellStart"/>
      <w:r w:rsidR="005C1C99">
        <w:rPr>
          <w:rFonts w:cstheme="minorBidi"/>
          <w:szCs w:val="22"/>
          <w:lang w:val="en-GB"/>
        </w:rPr>
        <w:t>f</w:t>
      </w:r>
      <w:r w:rsidRPr="00910636">
        <w:rPr>
          <w:rFonts w:cstheme="minorBidi"/>
          <w:szCs w:val="22"/>
          <w:lang w:val="en-GB"/>
        </w:rPr>
        <w:t>etuses</w:t>
      </w:r>
      <w:proofErr w:type="spellEnd"/>
      <w:r w:rsidRPr="00910636">
        <w:rPr>
          <w:rFonts w:cstheme="minorBidi"/>
          <w:szCs w:val="22"/>
          <w:lang w:val="en-GB"/>
        </w:rPr>
        <w:t xml:space="preserve"> &lt;34+0 weeks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bCs/>
          <w:szCs w:val="22"/>
          <w:lang w:val="en-GB"/>
        </w:rPr>
      </w:pPr>
      <w:r w:rsidRPr="00910636">
        <w:rPr>
          <w:rFonts w:cstheme="minorBidi"/>
          <w:i/>
          <w:szCs w:val="22"/>
          <w:lang w:val="en-GB"/>
        </w:rPr>
        <w:t>More than 36 weeks</w:t>
      </w:r>
      <w:r w:rsidRPr="00910636">
        <w:rPr>
          <w:rFonts w:cstheme="minorBidi"/>
          <w:szCs w:val="22"/>
          <w:lang w:val="en-GB"/>
        </w:rPr>
        <w:t xml:space="preserve"> – arrange delivery</w:t>
      </w:r>
      <w:r w:rsidRPr="00910636">
        <w:rPr>
          <w:rFonts w:cstheme="minorBidi"/>
          <w:b/>
          <w:bCs/>
          <w:szCs w:val="22"/>
          <w:lang w:val="en-GB"/>
        </w:rPr>
        <w:t xml:space="preserve"> </w:t>
      </w:r>
    </w:p>
    <w:p w:rsidR="00910636" w:rsidRPr="00910636" w:rsidRDefault="00910636" w:rsidP="00910636">
      <w:pPr>
        <w:spacing w:line="276" w:lineRule="auto"/>
        <w:rPr>
          <w:rFonts w:cstheme="minorBidi"/>
          <w:b/>
          <w:bCs/>
          <w:szCs w:val="22"/>
          <w:lang w:val="en-GB"/>
        </w:rPr>
      </w:pP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 xml:space="preserve">Mode of delivery will depend on the gestational age, condition of the </w:t>
      </w:r>
      <w:proofErr w:type="spellStart"/>
      <w:r w:rsidRPr="00910636">
        <w:rPr>
          <w:rFonts w:cstheme="minorBidi"/>
          <w:szCs w:val="22"/>
          <w:lang w:val="en-GB"/>
        </w:rPr>
        <w:t>fetus</w:t>
      </w:r>
      <w:proofErr w:type="spellEnd"/>
      <w:r w:rsidRPr="00910636">
        <w:rPr>
          <w:rFonts w:cstheme="minorBidi"/>
          <w:szCs w:val="22"/>
          <w:lang w:val="en-GB"/>
        </w:rPr>
        <w:t xml:space="preserve"> and suspected underlying cause and should be a consultant decision.</w:t>
      </w:r>
    </w:p>
    <w:p w:rsidR="00910636" w:rsidRP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SGA is an indication for continuous CTG monitoring in labour and with any significant uterine activity during induction.</w:t>
      </w:r>
    </w:p>
    <w:p w:rsidR="00910636" w:rsidRDefault="00910636" w:rsidP="00910636">
      <w:pPr>
        <w:spacing w:line="276" w:lineRule="auto"/>
        <w:rPr>
          <w:rFonts w:cstheme="minorBidi"/>
          <w:szCs w:val="22"/>
          <w:lang w:val="en-GB"/>
        </w:rPr>
      </w:pPr>
      <w:r w:rsidRPr="00910636">
        <w:rPr>
          <w:rFonts w:cstheme="minorBidi"/>
          <w:szCs w:val="22"/>
          <w:lang w:val="en-GB"/>
        </w:rPr>
        <w:t>Consider sending the p</w:t>
      </w:r>
      <w:r w:rsidR="005C1C99">
        <w:rPr>
          <w:rFonts w:cstheme="minorBidi"/>
          <w:szCs w:val="22"/>
          <w:lang w:val="en-GB"/>
        </w:rPr>
        <w:t>lacenta for perinatal pathology.</w:t>
      </w:r>
    </w:p>
    <w:p w:rsidR="00381C7D" w:rsidRDefault="00381C7D" w:rsidP="00910636">
      <w:pPr>
        <w:spacing w:line="276" w:lineRule="auto"/>
        <w:rPr>
          <w:rFonts w:cstheme="minorBidi"/>
          <w:szCs w:val="22"/>
          <w:lang w:val="en-GB"/>
        </w:rPr>
      </w:pPr>
    </w:p>
    <w:p w:rsidR="00381C7D" w:rsidRDefault="00381C7D" w:rsidP="00910636">
      <w:pPr>
        <w:spacing w:line="276" w:lineRule="auto"/>
        <w:rPr>
          <w:rFonts w:cstheme="minorBidi"/>
          <w:szCs w:val="22"/>
          <w:lang w:val="en-GB"/>
        </w:rPr>
      </w:pPr>
    </w:p>
    <w:p w:rsidR="00381C7D" w:rsidRPr="00910636" w:rsidRDefault="00381C7D" w:rsidP="00910636">
      <w:pPr>
        <w:spacing w:line="276" w:lineRule="auto"/>
        <w:rPr>
          <w:rFonts w:cstheme="minorBidi"/>
          <w:szCs w:val="22"/>
          <w:lang w:val="en-GB"/>
        </w:rPr>
      </w:pPr>
    </w:p>
    <w:p w:rsidR="00910636" w:rsidRPr="00910636" w:rsidRDefault="00F1655F" w:rsidP="00910636">
      <w:pPr>
        <w:spacing w:before="0" w:after="0"/>
        <w:contextualSpacing/>
        <w:jc w:val="both"/>
        <w:rPr>
          <w:rFonts w:asciiTheme="minorHAnsi" w:hAnsiTheme="minorHAnsi" w:cstheme="minorHAnsi"/>
          <w:bCs/>
          <w:sz w:val="20"/>
          <w:lang w:val="en-GB"/>
        </w:rPr>
      </w:pPr>
      <w:r>
        <w:rPr>
          <w:sz w:val="23"/>
          <w:szCs w:val="23"/>
        </w:rPr>
        <w:t xml:space="preserve">For women who decline induction of labour or delivery after 39+0 weeks, counselling must include a discussion regarding evidence that there is no increase in risk for the baby or for the mother from delivery/induction at this gestation and that there is no evidence to determine how fetuses with SGA/FGR should be monitored if pregnancy continues. </w:t>
      </w:r>
      <w:r w:rsidR="00910636" w:rsidRPr="00910636">
        <w:rPr>
          <w:rFonts w:cs="Arial"/>
          <w:sz w:val="24"/>
          <w:szCs w:val="24"/>
          <w:lang w:val="en-GB"/>
        </w:rPr>
        <w:br w:type="page"/>
      </w:r>
    </w:p>
    <w:p w:rsidR="00CD0AA1" w:rsidRPr="00CD0AA1" w:rsidRDefault="00CD0AA1" w:rsidP="00CD0AA1">
      <w:pPr>
        <w:keepNext/>
        <w:keepLines/>
        <w:spacing w:before="240" w:after="60"/>
        <w:ind w:left="576" w:hanging="576"/>
        <w:outlineLvl w:val="1"/>
        <w:rPr>
          <w:rFonts w:cstheme="majorBidi"/>
          <w:b/>
          <w:bCs/>
          <w:sz w:val="24"/>
          <w:szCs w:val="26"/>
          <w:lang w:val="en-GB"/>
        </w:rPr>
      </w:pPr>
      <w:bookmarkStart w:id="15" w:name="_Toc57658364"/>
      <w:r w:rsidRPr="00CD0AA1">
        <w:rPr>
          <w:rFonts w:cstheme="majorBidi"/>
          <w:b/>
          <w:bCs/>
          <w:sz w:val="24"/>
          <w:szCs w:val="26"/>
          <w:lang w:val="en-GB"/>
        </w:rPr>
        <w:lastRenderedPageBreak/>
        <w:t>Flow Chart for Management of Growth Scans</w:t>
      </w:r>
      <w:bookmarkEnd w:id="15"/>
    </w:p>
    <w:p w:rsidR="00CD0AA1" w:rsidRDefault="00CD0AA1" w:rsidP="00CD0AA1">
      <w:pPr>
        <w:spacing w:line="276" w:lineRule="auto"/>
        <w:rPr>
          <w:rFonts w:eastAsiaTheme="minorEastAsia" w:cstheme="minorBidi"/>
          <w:color w:val="FF0000"/>
          <w:szCs w:val="22"/>
          <w:lang w:val="en-GB"/>
        </w:rPr>
      </w:pPr>
    </w:p>
    <w:p w:rsidR="00CD0AA1" w:rsidRDefault="00CD0AA1" w:rsidP="00CD0AA1">
      <w:pPr>
        <w:spacing w:line="276" w:lineRule="auto"/>
        <w:rPr>
          <w:rFonts w:cstheme="minorBidi"/>
          <w:szCs w:val="22"/>
          <w:lang w:val="en-GB"/>
        </w:rPr>
      </w:pPr>
    </w:p>
    <w:p w:rsidR="00910636" w:rsidRPr="005C1C99" w:rsidRDefault="00910636" w:rsidP="00910636">
      <w:pPr>
        <w:spacing w:before="0" w:after="200" w:line="276" w:lineRule="auto"/>
        <w:rPr>
          <w:rFonts w:cstheme="majorBidi"/>
          <w:b/>
          <w:bCs/>
          <w:sz w:val="28"/>
          <w:szCs w:val="28"/>
          <w:lang w:val="en-GB"/>
        </w:rPr>
        <w:sectPr w:rsidR="00910636" w:rsidRPr="005C1C99" w:rsidSect="00910636">
          <w:pgSz w:w="11906" w:h="16838" w:code="9"/>
          <w:pgMar w:top="1134" w:right="1134" w:bottom="1134" w:left="1134" w:header="709" w:footer="709" w:gutter="0"/>
          <w:cols w:space="720"/>
          <w:docGrid w:linePitch="360" w:charSpace="28672"/>
        </w:sectPr>
      </w:pPr>
      <w:r w:rsidRPr="00910636">
        <w:rPr>
          <w:rFonts w:cstheme="minorBidi"/>
          <w:szCs w:val="22"/>
          <w:lang w:val="en-GB"/>
        </w:rPr>
        <w:br w:type="page"/>
      </w:r>
    </w:p>
    <w:p w:rsidR="00910636" w:rsidRPr="00910636" w:rsidRDefault="00910636" w:rsidP="00910636">
      <w:pPr>
        <w:spacing w:line="276" w:lineRule="auto"/>
        <w:rPr>
          <w:rFonts w:eastAsiaTheme="minorEastAsia" w:cstheme="minorBidi"/>
          <w:szCs w:val="22"/>
          <w:lang w:val="en-GB"/>
        </w:rPr>
      </w:pP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3</w:t>
      </w:r>
      <w:r w:rsidR="00CA21F3" w:rsidRPr="00910636">
        <w:rPr>
          <w:rFonts w:cs="Arial"/>
          <w:b/>
          <w:sz w:val="24"/>
          <w:szCs w:val="24"/>
        </w:rPr>
        <w:t>.3 Potential complications / Risk Management</w:t>
      </w: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3</w:t>
      </w:r>
      <w:r w:rsidR="00CA21F3" w:rsidRPr="00910636">
        <w:rPr>
          <w:rFonts w:cs="Arial"/>
          <w:b/>
          <w:sz w:val="24"/>
          <w:szCs w:val="24"/>
        </w:rPr>
        <w:t>.4 After care</w:t>
      </w: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</w:rPr>
      </w:pPr>
      <w:r w:rsidRPr="00910636">
        <w:rPr>
          <w:rFonts w:cs="Arial"/>
          <w:i w:val="0"/>
          <w:sz w:val="24"/>
          <w:szCs w:val="24"/>
        </w:rPr>
        <w:t>4</w:t>
      </w:r>
      <w:r w:rsidR="00CA21F3" w:rsidRPr="00910636">
        <w:rPr>
          <w:rFonts w:cs="Arial"/>
          <w:i w:val="0"/>
          <w:sz w:val="24"/>
          <w:szCs w:val="24"/>
        </w:rPr>
        <w:t>.  Patient Information</w:t>
      </w: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</w:rPr>
      </w:pPr>
      <w:r w:rsidRPr="00910636">
        <w:rPr>
          <w:rFonts w:cs="Arial"/>
          <w:i w:val="0"/>
          <w:sz w:val="24"/>
          <w:szCs w:val="24"/>
        </w:rPr>
        <w:t>5</w:t>
      </w:r>
      <w:r w:rsidR="00CA21F3" w:rsidRPr="00910636">
        <w:rPr>
          <w:rFonts w:cs="Arial"/>
          <w:i w:val="0"/>
          <w:sz w:val="24"/>
          <w:szCs w:val="24"/>
        </w:rPr>
        <w:t>.  Audit</w:t>
      </w: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5</w:t>
      </w:r>
      <w:r w:rsidR="00CA21F3" w:rsidRPr="00910636">
        <w:rPr>
          <w:rFonts w:cs="Arial"/>
          <w:b/>
          <w:sz w:val="24"/>
          <w:szCs w:val="24"/>
        </w:rPr>
        <w:t>.1 Audit Indicators</w:t>
      </w:r>
    </w:p>
    <w:p w:rsidR="005C77E3" w:rsidRPr="00910636" w:rsidRDefault="005C77E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5</w:t>
      </w:r>
      <w:r w:rsidR="00CA21F3" w:rsidRPr="00910636">
        <w:rPr>
          <w:rFonts w:cs="Arial"/>
          <w:b/>
          <w:sz w:val="24"/>
          <w:szCs w:val="24"/>
        </w:rPr>
        <w:t>.2 Audit design</w:t>
      </w:r>
    </w:p>
    <w:p w:rsidR="00CA21F3" w:rsidRPr="00910636" w:rsidRDefault="00CA21F3" w:rsidP="004D2B00">
      <w:pPr>
        <w:rPr>
          <w:rFonts w:cs="Arial"/>
          <w:sz w:val="24"/>
          <w:szCs w:val="24"/>
        </w:rPr>
      </w:pP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5</w:t>
      </w:r>
      <w:r w:rsidR="00CA21F3" w:rsidRPr="00910636">
        <w:rPr>
          <w:rFonts w:cs="Arial"/>
          <w:b/>
          <w:sz w:val="24"/>
          <w:szCs w:val="24"/>
        </w:rPr>
        <w:t>.3 User Involvement</w:t>
      </w: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537943" w:rsidP="004D2B00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</w:rPr>
      </w:pPr>
      <w:r w:rsidRPr="00910636">
        <w:rPr>
          <w:rFonts w:cs="Arial"/>
          <w:i w:val="0"/>
          <w:sz w:val="24"/>
          <w:szCs w:val="24"/>
        </w:rPr>
        <w:t>6</w:t>
      </w:r>
      <w:r w:rsidR="00CA21F3" w:rsidRPr="00910636">
        <w:rPr>
          <w:rFonts w:cs="Arial"/>
          <w:i w:val="0"/>
          <w:sz w:val="24"/>
          <w:szCs w:val="24"/>
        </w:rPr>
        <w:t>.  Evidence Base</w:t>
      </w:r>
    </w:p>
    <w:p w:rsidR="00CA21F3" w:rsidRPr="00910636" w:rsidRDefault="00537943" w:rsidP="004D2B00">
      <w:pPr>
        <w:rPr>
          <w:rFonts w:cs="Arial"/>
          <w:b/>
          <w:sz w:val="24"/>
          <w:szCs w:val="24"/>
        </w:rPr>
      </w:pPr>
      <w:r w:rsidRPr="00910636">
        <w:rPr>
          <w:rFonts w:cs="Arial"/>
          <w:b/>
          <w:sz w:val="24"/>
          <w:szCs w:val="24"/>
        </w:rPr>
        <w:t>6</w:t>
      </w:r>
      <w:r w:rsidR="00CA21F3" w:rsidRPr="00910636">
        <w:rPr>
          <w:rFonts w:cs="Arial"/>
          <w:b/>
          <w:sz w:val="24"/>
          <w:szCs w:val="24"/>
        </w:rPr>
        <w:t>.1 Sources of information</w:t>
      </w:r>
    </w:p>
    <w:p w:rsidR="00910636" w:rsidRPr="0042755B" w:rsidRDefault="00910636" w:rsidP="0042755B">
      <w:pPr>
        <w:pStyle w:val="ListParagraph"/>
        <w:numPr>
          <w:ilvl w:val="0"/>
          <w:numId w:val="40"/>
        </w:numPr>
        <w:rPr>
          <w:rFonts w:eastAsia="Times New Roman" w:cs="Arial"/>
          <w:sz w:val="20"/>
          <w:szCs w:val="20"/>
        </w:rPr>
      </w:pPr>
      <w:r w:rsidRPr="0042755B">
        <w:rPr>
          <w:rFonts w:eastAsia="Times New Roman" w:cs="Arial"/>
          <w:sz w:val="20"/>
          <w:szCs w:val="20"/>
        </w:rPr>
        <w:t>NHS England Saving Babies Lives Care Bundle version 2 March 2019</w:t>
      </w:r>
    </w:p>
    <w:p w:rsidR="00910636" w:rsidRPr="0042755B" w:rsidRDefault="00910636" w:rsidP="0042755B">
      <w:pPr>
        <w:pStyle w:val="ListParagraph"/>
        <w:numPr>
          <w:ilvl w:val="0"/>
          <w:numId w:val="40"/>
        </w:numPr>
        <w:rPr>
          <w:rFonts w:eastAsia="Times New Roman" w:cs="Arial"/>
          <w:sz w:val="20"/>
          <w:szCs w:val="20"/>
        </w:rPr>
      </w:pPr>
      <w:r w:rsidRPr="0042755B">
        <w:rPr>
          <w:rFonts w:eastAsia="Times New Roman" w:cs="Arial"/>
          <w:sz w:val="20"/>
          <w:szCs w:val="20"/>
        </w:rPr>
        <w:t>Nice Hypertension in Pregnancy (2019)</w:t>
      </w:r>
    </w:p>
    <w:p w:rsidR="00910636" w:rsidRPr="0042755B" w:rsidRDefault="00910636" w:rsidP="0042755B">
      <w:pPr>
        <w:pStyle w:val="ListParagraph"/>
        <w:numPr>
          <w:ilvl w:val="0"/>
          <w:numId w:val="40"/>
        </w:numPr>
        <w:rPr>
          <w:rFonts w:eastAsia="Times New Roman" w:cs="Arial"/>
          <w:sz w:val="20"/>
          <w:szCs w:val="20"/>
        </w:rPr>
      </w:pPr>
      <w:r w:rsidRPr="0042755B">
        <w:rPr>
          <w:rFonts w:eastAsia="Times New Roman" w:cs="Arial"/>
          <w:sz w:val="20"/>
          <w:szCs w:val="20"/>
        </w:rPr>
        <w:t xml:space="preserve">RCOG </w:t>
      </w:r>
      <w:proofErr w:type="spellStart"/>
      <w:r w:rsidRPr="0042755B">
        <w:rPr>
          <w:rFonts w:eastAsia="Times New Roman" w:cs="Arial"/>
          <w:sz w:val="20"/>
          <w:szCs w:val="20"/>
        </w:rPr>
        <w:t>greentop</w:t>
      </w:r>
      <w:proofErr w:type="spellEnd"/>
      <w:r w:rsidRPr="0042755B">
        <w:rPr>
          <w:rFonts w:eastAsia="Times New Roman" w:cs="Arial"/>
          <w:sz w:val="20"/>
          <w:szCs w:val="20"/>
        </w:rPr>
        <w:t xml:space="preserve"> guideline: Small for Gestational Age No.31 February 2013</w:t>
      </w:r>
    </w:p>
    <w:p w:rsidR="00910636" w:rsidRPr="0042755B" w:rsidRDefault="00910636" w:rsidP="0042755B">
      <w:pPr>
        <w:pStyle w:val="ListParagraph"/>
        <w:numPr>
          <w:ilvl w:val="0"/>
          <w:numId w:val="40"/>
        </w:numPr>
        <w:rPr>
          <w:rFonts w:eastAsia="Times New Roman" w:cs="Arial"/>
          <w:sz w:val="20"/>
          <w:szCs w:val="20"/>
        </w:rPr>
      </w:pPr>
      <w:r w:rsidRPr="0042755B">
        <w:rPr>
          <w:rFonts w:eastAsia="Times New Roman" w:cs="Arial"/>
          <w:sz w:val="20"/>
          <w:szCs w:val="20"/>
        </w:rPr>
        <w:t xml:space="preserve">National Institute for Clinical Excellence. </w:t>
      </w:r>
      <w:r w:rsidRPr="0042755B">
        <w:rPr>
          <w:rFonts w:eastAsia="Times New Roman" w:cs="Arial"/>
          <w:i/>
          <w:sz w:val="20"/>
          <w:szCs w:val="20"/>
        </w:rPr>
        <w:t>Antenatal Care: Routine care for the healthy pregnant woman</w:t>
      </w:r>
      <w:r w:rsidRPr="0042755B">
        <w:rPr>
          <w:rFonts w:eastAsia="Times New Roman" w:cs="Arial"/>
          <w:sz w:val="20"/>
          <w:szCs w:val="20"/>
        </w:rPr>
        <w:t>.12; 2008</w:t>
      </w: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CA21F3" w:rsidRPr="00910636" w:rsidRDefault="00CA21F3" w:rsidP="004D2B00">
      <w:pPr>
        <w:rPr>
          <w:rFonts w:cs="Arial"/>
          <w:b/>
          <w:sz w:val="24"/>
          <w:szCs w:val="24"/>
        </w:rPr>
      </w:pPr>
    </w:p>
    <w:p w:rsidR="005C77E3" w:rsidRPr="00910636" w:rsidRDefault="00537943" w:rsidP="004D2B00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rFonts w:cs="Arial"/>
          <w:i w:val="0"/>
          <w:sz w:val="24"/>
          <w:szCs w:val="24"/>
        </w:rPr>
      </w:pPr>
      <w:r w:rsidRPr="00910636">
        <w:rPr>
          <w:rFonts w:cs="Arial"/>
          <w:i w:val="0"/>
          <w:sz w:val="24"/>
          <w:szCs w:val="24"/>
        </w:rPr>
        <w:t>8</w:t>
      </w:r>
      <w:r w:rsidR="005C77E3" w:rsidRPr="00910636">
        <w:rPr>
          <w:rFonts w:cs="Arial"/>
          <w:i w:val="0"/>
          <w:sz w:val="24"/>
          <w:szCs w:val="24"/>
        </w:rPr>
        <w:t xml:space="preserve">.  Version information 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4"/>
        <w:gridCol w:w="1699"/>
        <w:gridCol w:w="1844"/>
        <w:gridCol w:w="1844"/>
      </w:tblGrid>
      <w:tr w:rsidR="006B76F7" w:rsidRPr="00910636" w:rsidTr="0042755B">
        <w:tc>
          <w:tcPr>
            <w:tcW w:w="610" w:type="pct"/>
            <w:noWrap/>
            <w:hideMark/>
          </w:tcPr>
          <w:p w:rsidR="006B76F7" w:rsidRPr="00EC6F4D" w:rsidRDefault="006B76F7" w:rsidP="004D2B00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>Version No.</w:t>
            </w:r>
          </w:p>
        </w:tc>
        <w:tc>
          <w:tcPr>
            <w:tcW w:w="836" w:type="pct"/>
            <w:noWrap/>
            <w:hideMark/>
          </w:tcPr>
          <w:p w:rsidR="006B76F7" w:rsidRPr="00EC6F4D" w:rsidRDefault="006B76F7" w:rsidP="004D2B00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 xml:space="preserve">Document owner and </w:t>
            </w:r>
          </w:p>
          <w:p w:rsidR="006B76F7" w:rsidRPr="00EC6F4D" w:rsidRDefault="006B76F7" w:rsidP="004D2B00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color w:val="333333"/>
                <w:sz w:val="20"/>
              </w:rPr>
              <w:t>Post holder’s title</w:t>
            </w:r>
          </w:p>
        </w:tc>
        <w:tc>
          <w:tcPr>
            <w:tcW w:w="906" w:type="pct"/>
            <w:noWrap/>
            <w:hideMark/>
          </w:tcPr>
          <w:p w:rsidR="006B76F7" w:rsidRPr="00EC6F4D" w:rsidRDefault="006B76F7" w:rsidP="004D2B00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>Agreed at Maternity Governance</w:t>
            </w:r>
          </w:p>
        </w:tc>
        <w:tc>
          <w:tcPr>
            <w:tcW w:w="835" w:type="pct"/>
          </w:tcPr>
          <w:p w:rsidR="006B76F7" w:rsidRPr="00EC6F4D" w:rsidRDefault="006B76F7" w:rsidP="004D2B00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>Final agreement</w:t>
            </w:r>
          </w:p>
        </w:tc>
        <w:tc>
          <w:tcPr>
            <w:tcW w:w="906" w:type="pct"/>
          </w:tcPr>
          <w:p w:rsidR="006B76F7" w:rsidRPr="00EC6F4D" w:rsidRDefault="006B76F7" w:rsidP="00910636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>Description of Changes</w:t>
            </w:r>
          </w:p>
        </w:tc>
        <w:tc>
          <w:tcPr>
            <w:tcW w:w="906" w:type="pct"/>
          </w:tcPr>
          <w:p w:rsidR="006B76F7" w:rsidRPr="00EC6F4D" w:rsidRDefault="006B76F7" w:rsidP="00910636">
            <w:pPr>
              <w:rPr>
                <w:rFonts w:cs="Arial"/>
                <w:b/>
                <w:bCs/>
                <w:color w:val="333333"/>
                <w:sz w:val="20"/>
              </w:rPr>
            </w:pPr>
            <w:r w:rsidRPr="00EC6F4D">
              <w:rPr>
                <w:rFonts w:cs="Arial"/>
                <w:b/>
                <w:bCs/>
                <w:color w:val="333333"/>
                <w:sz w:val="20"/>
              </w:rPr>
              <w:t>Date on Microguide</w:t>
            </w:r>
          </w:p>
        </w:tc>
      </w:tr>
      <w:tr w:rsidR="006B76F7" w:rsidRPr="00910636" w:rsidTr="0042755B">
        <w:trPr>
          <w:trHeight w:val="449"/>
        </w:trPr>
        <w:tc>
          <w:tcPr>
            <w:tcW w:w="610" w:type="pct"/>
            <w:hideMark/>
          </w:tcPr>
          <w:p w:rsidR="006B76F7" w:rsidRDefault="006B76F7" w:rsidP="004D2B00">
            <w:pPr>
              <w:rPr>
                <w:rFonts w:cs="Arial"/>
                <w:color w:val="333333"/>
                <w:sz w:val="20"/>
              </w:rPr>
            </w:pPr>
            <w:r w:rsidRPr="00EC6F4D">
              <w:rPr>
                <w:rFonts w:cs="Arial"/>
                <w:color w:val="333333"/>
                <w:sz w:val="20"/>
              </w:rPr>
              <w:t>1.0</w:t>
            </w:r>
          </w:p>
          <w:p w:rsidR="00EC6F4D" w:rsidRPr="00EC6F4D" w:rsidRDefault="00EC6F4D" w:rsidP="004D2B00">
            <w:pPr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04/01/2021</w:t>
            </w:r>
          </w:p>
        </w:tc>
        <w:tc>
          <w:tcPr>
            <w:tcW w:w="836" w:type="pct"/>
            <w:noWrap/>
            <w:hideMark/>
          </w:tcPr>
          <w:p w:rsidR="00947D6B" w:rsidRDefault="00947D6B" w:rsidP="004D2B00">
            <w:pPr>
              <w:rPr>
                <w:rFonts w:cs="Arial"/>
                <w:color w:val="333333"/>
                <w:sz w:val="20"/>
              </w:rPr>
            </w:pPr>
            <w:proofErr w:type="spellStart"/>
            <w:r>
              <w:rPr>
                <w:rFonts w:cs="Arial"/>
                <w:color w:val="333333"/>
                <w:sz w:val="20"/>
              </w:rPr>
              <w:t>Mr</w:t>
            </w:r>
            <w:proofErr w:type="spellEnd"/>
            <w:r>
              <w:rPr>
                <w:rFonts w:cs="Arial"/>
                <w:color w:val="333333"/>
                <w:sz w:val="20"/>
              </w:rPr>
              <w:t xml:space="preserve"> S M </w:t>
            </w:r>
            <w:proofErr w:type="spellStart"/>
            <w:r>
              <w:rPr>
                <w:rFonts w:cs="Arial"/>
                <w:color w:val="333333"/>
                <w:sz w:val="20"/>
              </w:rPr>
              <w:t>Verdin</w:t>
            </w:r>
            <w:proofErr w:type="spellEnd"/>
          </w:p>
          <w:p w:rsidR="006B76F7" w:rsidRDefault="00EC6F4D" w:rsidP="004D2B00">
            <w:pPr>
              <w:rPr>
                <w:rFonts w:cs="Arial"/>
                <w:color w:val="333333"/>
                <w:sz w:val="20"/>
              </w:rPr>
            </w:pPr>
            <w:proofErr w:type="spellStart"/>
            <w:r>
              <w:rPr>
                <w:rFonts w:cs="Arial"/>
                <w:color w:val="333333"/>
                <w:sz w:val="20"/>
              </w:rPr>
              <w:t>Ms</w:t>
            </w:r>
            <w:proofErr w:type="spellEnd"/>
            <w:r>
              <w:rPr>
                <w:rFonts w:cs="Arial"/>
                <w:color w:val="333333"/>
                <w:sz w:val="20"/>
              </w:rPr>
              <w:t xml:space="preserve"> A Hawkins</w:t>
            </w:r>
          </w:p>
          <w:p w:rsidR="00EC6F4D" w:rsidRDefault="00EC6F4D" w:rsidP="004D2B00">
            <w:pPr>
              <w:rPr>
                <w:rFonts w:cs="Arial"/>
                <w:color w:val="333333"/>
                <w:sz w:val="20"/>
              </w:rPr>
            </w:pPr>
            <w:proofErr w:type="spellStart"/>
            <w:r>
              <w:rPr>
                <w:rFonts w:cs="Arial"/>
                <w:color w:val="333333"/>
                <w:sz w:val="20"/>
              </w:rPr>
              <w:t>Ms</w:t>
            </w:r>
            <w:proofErr w:type="spellEnd"/>
            <w:r>
              <w:rPr>
                <w:rFonts w:cs="Arial"/>
                <w:color w:val="333333"/>
                <w:sz w:val="20"/>
              </w:rPr>
              <w:t xml:space="preserve"> H Rickard</w:t>
            </w:r>
          </w:p>
          <w:p w:rsidR="00EC6F4D" w:rsidRDefault="00EC6F4D" w:rsidP="004D2B00">
            <w:pPr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Consultant Obstetricians</w:t>
            </w:r>
          </w:p>
          <w:p w:rsidR="00947D6B" w:rsidRPr="00EC6F4D" w:rsidRDefault="00947D6B" w:rsidP="004D2B00">
            <w:pPr>
              <w:rPr>
                <w:rFonts w:cs="Arial"/>
                <w:color w:val="333333"/>
                <w:sz w:val="20"/>
              </w:rPr>
            </w:pPr>
          </w:p>
        </w:tc>
        <w:tc>
          <w:tcPr>
            <w:tcW w:w="906" w:type="pct"/>
            <w:noWrap/>
            <w:hideMark/>
          </w:tcPr>
          <w:p w:rsidR="006B76F7" w:rsidRPr="00EC6F4D" w:rsidRDefault="006B76F7" w:rsidP="00EC6F4D">
            <w:pPr>
              <w:rPr>
                <w:rFonts w:cs="Arial"/>
                <w:color w:val="333333"/>
                <w:sz w:val="20"/>
              </w:rPr>
            </w:pPr>
          </w:p>
        </w:tc>
        <w:tc>
          <w:tcPr>
            <w:tcW w:w="835" w:type="pct"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</w:p>
        </w:tc>
        <w:tc>
          <w:tcPr>
            <w:tcW w:w="906" w:type="pct"/>
          </w:tcPr>
          <w:p w:rsidR="006B76F7" w:rsidRPr="00EC6F4D" w:rsidRDefault="006B76F7" w:rsidP="00910636">
            <w:pPr>
              <w:rPr>
                <w:rFonts w:cs="Arial"/>
                <w:color w:val="333333"/>
                <w:sz w:val="20"/>
              </w:rPr>
            </w:pPr>
          </w:p>
        </w:tc>
        <w:tc>
          <w:tcPr>
            <w:tcW w:w="906" w:type="pct"/>
          </w:tcPr>
          <w:p w:rsidR="006B76F7" w:rsidRPr="00EC6F4D" w:rsidRDefault="006B76F7" w:rsidP="00910636">
            <w:pPr>
              <w:rPr>
                <w:rFonts w:cs="Arial"/>
                <w:color w:val="333333"/>
                <w:sz w:val="20"/>
              </w:rPr>
            </w:pPr>
          </w:p>
        </w:tc>
      </w:tr>
      <w:tr w:rsidR="006B76F7" w:rsidRPr="00910636" w:rsidTr="0042755B">
        <w:tc>
          <w:tcPr>
            <w:tcW w:w="610" w:type="pct"/>
            <w:hideMark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  <w:r w:rsidRPr="00EC6F4D">
              <w:rPr>
                <w:rFonts w:cs="Arial"/>
                <w:color w:val="333333"/>
                <w:sz w:val="20"/>
              </w:rPr>
              <w:lastRenderedPageBreak/>
              <w:t xml:space="preserve"> </w:t>
            </w:r>
          </w:p>
        </w:tc>
        <w:tc>
          <w:tcPr>
            <w:tcW w:w="836" w:type="pct"/>
            <w:noWrap/>
            <w:hideMark/>
          </w:tcPr>
          <w:p w:rsidR="006B76F7" w:rsidRDefault="00947D6B" w:rsidP="004D2B00">
            <w:pPr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 xml:space="preserve">Advice from </w:t>
            </w:r>
          </w:p>
          <w:p w:rsidR="00947D6B" w:rsidRPr="00EC6F4D" w:rsidRDefault="00947D6B" w:rsidP="00D43292">
            <w:pPr>
              <w:rPr>
                <w:rFonts w:cs="Arial"/>
                <w:color w:val="333333"/>
                <w:sz w:val="20"/>
              </w:rPr>
            </w:pPr>
            <w:proofErr w:type="spellStart"/>
            <w:r>
              <w:rPr>
                <w:rFonts w:cs="Arial"/>
                <w:color w:val="333333"/>
                <w:sz w:val="20"/>
              </w:rPr>
              <w:t>Dr</w:t>
            </w:r>
            <w:proofErr w:type="spellEnd"/>
            <w:r>
              <w:rPr>
                <w:rFonts w:cs="Arial"/>
                <w:color w:val="333333"/>
                <w:sz w:val="20"/>
              </w:rPr>
              <w:t xml:space="preserve"> Sian McDonnel</w:t>
            </w:r>
            <w:r w:rsidR="00D43292">
              <w:rPr>
                <w:rFonts w:cs="Arial"/>
                <w:color w:val="333333"/>
                <w:sz w:val="20"/>
              </w:rPr>
              <w:t>l</w:t>
            </w:r>
            <w:r>
              <w:rPr>
                <w:rFonts w:cs="Arial"/>
                <w:color w:val="333333"/>
                <w:sz w:val="20"/>
              </w:rPr>
              <w:t xml:space="preserve"> – </w:t>
            </w:r>
            <w:r w:rsidR="00D43292">
              <w:rPr>
                <w:rFonts w:cs="Arial"/>
                <w:color w:val="333333"/>
                <w:sz w:val="20"/>
              </w:rPr>
              <w:t>C</w:t>
            </w:r>
            <w:r>
              <w:rPr>
                <w:rFonts w:cs="Arial"/>
                <w:color w:val="333333"/>
                <w:sz w:val="20"/>
              </w:rPr>
              <w:t xml:space="preserve">onsultant </w:t>
            </w:r>
            <w:r w:rsidR="00D43292">
              <w:rPr>
                <w:rFonts w:cs="Arial"/>
                <w:color w:val="333333"/>
                <w:sz w:val="20"/>
              </w:rPr>
              <w:t>O</w:t>
            </w:r>
            <w:r>
              <w:rPr>
                <w:rFonts w:cs="Arial"/>
                <w:color w:val="333333"/>
                <w:sz w:val="20"/>
              </w:rPr>
              <w:t>bstetrician, Ashford and St Peter’s NHS Foundation Trust</w:t>
            </w:r>
          </w:p>
        </w:tc>
        <w:tc>
          <w:tcPr>
            <w:tcW w:w="906" w:type="pct"/>
            <w:noWrap/>
            <w:hideMark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  <w:r w:rsidRPr="00EC6F4D">
              <w:rPr>
                <w:rFonts w:cs="Arial"/>
                <w:color w:val="333333"/>
                <w:sz w:val="20"/>
              </w:rPr>
              <w:t xml:space="preserve"> </w:t>
            </w:r>
          </w:p>
        </w:tc>
        <w:tc>
          <w:tcPr>
            <w:tcW w:w="835" w:type="pct"/>
            <w:hideMark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  <w:r w:rsidRPr="00EC6F4D">
              <w:rPr>
                <w:rFonts w:cs="Arial"/>
                <w:color w:val="333333"/>
                <w:sz w:val="20"/>
              </w:rPr>
              <w:t xml:space="preserve"> </w:t>
            </w:r>
          </w:p>
        </w:tc>
        <w:tc>
          <w:tcPr>
            <w:tcW w:w="906" w:type="pct"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</w:p>
        </w:tc>
        <w:tc>
          <w:tcPr>
            <w:tcW w:w="906" w:type="pct"/>
          </w:tcPr>
          <w:p w:rsidR="006B76F7" w:rsidRPr="00EC6F4D" w:rsidRDefault="006B76F7" w:rsidP="004D2B00">
            <w:pPr>
              <w:rPr>
                <w:rFonts w:cs="Arial"/>
                <w:color w:val="333333"/>
                <w:sz w:val="20"/>
              </w:rPr>
            </w:pPr>
          </w:p>
        </w:tc>
      </w:tr>
    </w:tbl>
    <w:p w:rsidR="006B76F7" w:rsidRPr="00910636" w:rsidRDefault="006B76F7" w:rsidP="004D2B00">
      <w:pPr>
        <w:pStyle w:val="Subtitle"/>
        <w:rPr>
          <w:rFonts w:cs="Arial"/>
          <w:sz w:val="24"/>
          <w:szCs w:val="24"/>
        </w:rPr>
      </w:pPr>
    </w:p>
    <w:p w:rsidR="00EE6A25" w:rsidRDefault="00EE6A25" w:rsidP="004D2B00">
      <w:pPr>
        <w:pStyle w:val="Subtitle"/>
        <w:rPr>
          <w:rFonts w:cs="Arial"/>
          <w:sz w:val="24"/>
          <w:szCs w:val="24"/>
        </w:rPr>
      </w:pPr>
      <w:r w:rsidRPr="00910636">
        <w:rPr>
          <w:rFonts w:cs="Arial"/>
          <w:sz w:val="24"/>
          <w:szCs w:val="24"/>
        </w:rPr>
        <w:t>Author Name and Date</w:t>
      </w:r>
    </w:p>
    <w:p w:rsidR="001D2415" w:rsidRPr="001D2415" w:rsidRDefault="001D2415" w:rsidP="004D2B00">
      <w:pPr>
        <w:pStyle w:val="Subtitle"/>
        <w:rPr>
          <w:rFonts w:cs="Arial"/>
          <w:sz w:val="24"/>
          <w:szCs w:val="24"/>
        </w:rPr>
      </w:pPr>
    </w:p>
    <w:p w:rsidR="001D2415" w:rsidRPr="001D2415" w:rsidRDefault="001D2415" w:rsidP="004D2B00">
      <w:pPr>
        <w:pStyle w:val="Subtitle"/>
        <w:rPr>
          <w:rFonts w:cs="Arial"/>
          <w:sz w:val="24"/>
          <w:szCs w:val="24"/>
        </w:rPr>
      </w:pPr>
      <w:r w:rsidRPr="001D2415">
        <w:rPr>
          <w:rFonts w:cs="Arial"/>
          <w:sz w:val="24"/>
          <w:szCs w:val="24"/>
        </w:rPr>
        <w:t>Appendix One</w:t>
      </w:r>
    </w:p>
    <w:p w:rsidR="005C77E3" w:rsidRDefault="001D2415" w:rsidP="004D2B00">
      <w:pPr>
        <w:rPr>
          <w:b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4156D23D" wp14:editId="3ACC4DD8">
            <wp:extent cx="6763881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3103" cy="468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7E3">
      <w:headerReference w:type="default" r:id="rId12"/>
      <w:footerReference w:type="default" r:id="rId13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49" w:rsidRDefault="008F4849">
      <w:r>
        <w:separator/>
      </w:r>
    </w:p>
  </w:endnote>
  <w:endnote w:type="continuationSeparator" w:id="0">
    <w:p w:rsidR="008F4849" w:rsidRDefault="008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C2A" w:rsidRDefault="00694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4C2A" w:rsidRDefault="00694C2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49" w:rsidRDefault="008F4849">
      <w:r>
        <w:separator/>
      </w:r>
    </w:p>
  </w:footnote>
  <w:footnote w:type="continuationSeparator" w:id="0">
    <w:p w:rsidR="008F4849" w:rsidRDefault="008F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2A" w:rsidRDefault="00694C2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694C2A" w:rsidRDefault="00694C2A">
    <w:pPr>
      <w:pStyle w:val="Header"/>
      <w:pBdr>
        <w:bottom w:val="single" w:sz="4" w:space="1" w:color="auto"/>
      </w:pBdr>
      <w:rPr>
        <w:b/>
      </w:rPr>
    </w:pPr>
    <w:proofErr w:type="spellStart"/>
    <w:r>
      <w:rPr>
        <w:rFonts w:ascii="Arial" w:hAnsi="Arial"/>
        <w:b/>
        <w:sz w:val="16"/>
      </w:rPr>
      <w:t>MicroGuide</w:t>
    </w:r>
    <w:proofErr w:type="spellEnd"/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B45"/>
    <w:multiLevelType w:val="hybridMultilevel"/>
    <w:tmpl w:val="E65AB6C8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847"/>
    <w:multiLevelType w:val="hybridMultilevel"/>
    <w:tmpl w:val="D986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25F3"/>
    <w:multiLevelType w:val="hybridMultilevel"/>
    <w:tmpl w:val="26A2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3080"/>
    <w:multiLevelType w:val="hybridMultilevel"/>
    <w:tmpl w:val="A0C2D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51C0B81"/>
    <w:multiLevelType w:val="hybridMultilevel"/>
    <w:tmpl w:val="F476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499"/>
    <w:multiLevelType w:val="hybridMultilevel"/>
    <w:tmpl w:val="28745648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6F69"/>
    <w:multiLevelType w:val="hybridMultilevel"/>
    <w:tmpl w:val="C7AE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1CC"/>
    <w:multiLevelType w:val="hybridMultilevel"/>
    <w:tmpl w:val="6658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308D"/>
    <w:multiLevelType w:val="hybridMultilevel"/>
    <w:tmpl w:val="A4C8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66D1D"/>
    <w:multiLevelType w:val="hybridMultilevel"/>
    <w:tmpl w:val="65447E34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46258"/>
    <w:multiLevelType w:val="hybridMultilevel"/>
    <w:tmpl w:val="4916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3579"/>
    <w:multiLevelType w:val="hybridMultilevel"/>
    <w:tmpl w:val="370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E326F"/>
    <w:multiLevelType w:val="hybridMultilevel"/>
    <w:tmpl w:val="032C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758B9"/>
    <w:multiLevelType w:val="hybridMultilevel"/>
    <w:tmpl w:val="4BAA18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424DE8"/>
    <w:multiLevelType w:val="hybridMultilevel"/>
    <w:tmpl w:val="04ACB466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0230"/>
    <w:multiLevelType w:val="hybridMultilevel"/>
    <w:tmpl w:val="394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5113"/>
    <w:multiLevelType w:val="hybridMultilevel"/>
    <w:tmpl w:val="20582E30"/>
    <w:lvl w:ilvl="0" w:tplc="324610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56250A0A"/>
    <w:multiLevelType w:val="hybridMultilevel"/>
    <w:tmpl w:val="95E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8671F"/>
    <w:multiLevelType w:val="hybridMultilevel"/>
    <w:tmpl w:val="CC4A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55F38"/>
    <w:multiLevelType w:val="hybridMultilevel"/>
    <w:tmpl w:val="43C2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B3039"/>
    <w:multiLevelType w:val="hybridMultilevel"/>
    <w:tmpl w:val="736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44D1E"/>
    <w:multiLevelType w:val="hybridMultilevel"/>
    <w:tmpl w:val="D4B4746C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12BC0"/>
    <w:multiLevelType w:val="hybridMultilevel"/>
    <w:tmpl w:val="35AC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70B6"/>
    <w:multiLevelType w:val="hybridMultilevel"/>
    <w:tmpl w:val="A9CA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734D1"/>
    <w:multiLevelType w:val="hybridMultilevel"/>
    <w:tmpl w:val="8EB8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6657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6595C"/>
    <w:multiLevelType w:val="hybridMultilevel"/>
    <w:tmpl w:val="8D3C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A30AC"/>
    <w:multiLevelType w:val="hybridMultilevel"/>
    <w:tmpl w:val="F6641B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F05784"/>
    <w:multiLevelType w:val="hybridMultilevel"/>
    <w:tmpl w:val="45F2DB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F17C39"/>
    <w:multiLevelType w:val="hybridMultilevel"/>
    <w:tmpl w:val="CAD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636F3"/>
    <w:multiLevelType w:val="hybridMultilevel"/>
    <w:tmpl w:val="6FF8E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BB6CFC"/>
    <w:multiLevelType w:val="hybridMultilevel"/>
    <w:tmpl w:val="680032F4"/>
    <w:lvl w:ilvl="0" w:tplc="CC72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23"/>
  </w:num>
  <w:num w:numId="9">
    <w:abstractNumId w:val="21"/>
  </w:num>
  <w:num w:numId="10">
    <w:abstractNumId w:val="24"/>
  </w:num>
  <w:num w:numId="11">
    <w:abstractNumId w:val="26"/>
  </w:num>
  <w:num w:numId="12">
    <w:abstractNumId w:val="27"/>
  </w:num>
  <w:num w:numId="13">
    <w:abstractNumId w:val="39"/>
  </w:num>
  <w:num w:numId="14">
    <w:abstractNumId w:val="33"/>
  </w:num>
  <w:num w:numId="15">
    <w:abstractNumId w:val="28"/>
  </w:num>
  <w:num w:numId="16">
    <w:abstractNumId w:val="6"/>
  </w:num>
  <w:num w:numId="17">
    <w:abstractNumId w:val="17"/>
  </w:num>
  <w:num w:numId="18">
    <w:abstractNumId w:val="1"/>
  </w:num>
  <w:num w:numId="19">
    <w:abstractNumId w:val="22"/>
  </w:num>
  <w:num w:numId="20">
    <w:abstractNumId w:val="30"/>
  </w:num>
  <w:num w:numId="21">
    <w:abstractNumId w:val="19"/>
  </w:num>
  <w:num w:numId="22">
    <w:abstractNumId w:val="8"/>
  </w:num>
  <w:num w:numId="23">
    <w:abstractNumId w:val="10"/>
  </w:num>
  <w:num w:numId="24">
    <w:abstractNumId w:val="35"/>
  </w:num>
  <w:num w:numId="25">
    <w:abstractNumId w:val="29"/>
  </w:num>
  <w:num w:numId="26">
    <w:abstractNumId w:val="3"/>
  </w:num>
  <w:num w:numId="27">
    <w:abstractNumId w:val="12"/>
  </w:num>
  <w:num w:numId="28">
    <w:abstractNumId w:val="0"/>
  </w:num>
  <w:num w:numId="29">
    <w:abstractNumId w:val="20"/>
  </w:num>
  <w:num w:numId="30">
    <w:abstractNumId w:val="7"/>
  </w:num>
  <w:num w:numId="31">
    <w:abstractNumId w:val="15"/>
  </w:num>
  <w:num w:numId="32">
    <w:abstractNumId w:val="31"/>
  </w:num>
  <w:num w:numId="33">
    <w:abstractNumId w:val="40"/>
  </w:num>
  <w:num w:numId="34">
    <w:abstractNumId w:val="18"/>
  </w:num>
  <w:num w:numId="35">
    <w:abstractNumId w:val="32"/>
  </w:num>
  <w:num w:numId="36">
    <w:abstractNumId w:val="38"/>
  </w:num>
  <w:num w:numId="37">
    <w:abstractNumId w:val="4"/>
  </w:num>
  <w:num w:numId="38">
    <w:abstractNumId w:val="37"/>
  </w:num>
  <w:num w:numId="39">
    <w:abstractNumId w:val="34"/>
  </w:num>
  <w:num w:numId="40">
    <w:abstractNumId w:val="3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516FF"/>
    <w:rsid w:val="000669CF"/>
    <w:rsid w:val="00071C58"/>
    <w:rsid w:val="000A6B4A"/>
    <w:rsid w:val="000F104F"/>
    <w:rsid w:val="00126DAA"/>
    <w:rsid w:val="00163427"/>
    <w:rsid w:val="00180851"/>
    <w:rsid w:val="001876C7"/>
    <w:rsid w:val="001D2415"/>
    <w:rsid w:val="001E11AE"/>
    <w:rsid w:val="002041E1"/>
    <w:rsid w:val="0027534C"/>
    <w:rsid w:val="002D6733"/>
    <w:rsid w:val="00381C7D"/>
    <w:rsid w:val="003851A3"/>
    <w:rsid w:val="0042755B"/>
    <w:rsid w:val="004867A9"/>
    <w:rsid w:val="004C503C"/>
    <w:rsid w:val="004D2708"/>
    <w:rsid w:val="004D2B00"/>
    <w:rsid w:val="00537943"/>
    <w:rsid w:val="00545D62"/>
    <w:rsid w:val="005C1C99"/>
    <w:rsid w:val="005C77E3"/>
    <w:rsid w:val="005F3E53"/>
    <w:rsid w:val="00630001"/>
    <w:rsid w:val="00651734"/>
    <w:rsid w:val="00654DF4"/>
    <w:rsid w:val="0066425A"/>
    <w:rsid w:val="006658E8"/>
    <w:rsid w:val="00694C2A"/>
    <w:rsid w:val="006B76F7"/>
    <w:rsid w:val="006D2AD4"/>
    <w:rsid w:val="00785853"/>
    <w:rsid w:val="00877594"/>
    <w:rsid w:val="008F4849"/>
    <w:rsid w:val="00910636"/>
    <w:rsid w:val="00930A8A"/>
    <w:rsid w:val="00941AA7"/>
    <w:rsid w:val="00947D6B"/>
    <w:rsid w:val="00960DCD"/>
    <w:rsid w:val="00960FCD"/>
    <w:rsid w:val="00986315"/>
    <w:rsid w:val="009B2C14"/>
    <w:rsid w:val="009B507C"/>
    <w:rsid w:val="00A01704"/>
    <w:rsid w:val="00A85DBD"/>
    <w:rsid w:val="00AB3823"/>
    <w:rsid w:val="00B03173"/>
    <w:rsid w:val="00B14E51"/>
    <w:rsid w:val="00B661CE"/>
    <w:rsid w:val="00B859C5"/>
    <w:rsid w:val="00BB1D49"/>
    <w:rsid w:val="00BB4107"/>
    <w:rsid w:val="00BD6E1D"/>
    <w:rsid w:val="00C675A9"/>
    <w:rsid w:val="00C82716"/>
    <w:rsid w:val="00CA21F3"/>
    <w:rsid w:val="00CA549B"/>
    <w:rsid w:val="00CB0712"/>
    <w:rsid w:val="00CB54E6"/>
    <w:rsid w:val="00CD0AA1"/>
    <w:rsid w:val="00D32878"/>
    <w:rsid w:val="00D43292"/>
    <w:rsid w:val="00D743E5"/>
    <w:rsid w:val="00DE6EB1"/>
    <w:rsid w:val="00E55263"/>
    <w:rsid w:val="00EB6843"/>
    <w:rsid w:val="00EC6F4D"/>
    <w:rsid w:val="00ED4AA2"/>
    <w:rsid w:val="00EE24E9"/>
    <w:rsid w:val="00EE6A25"/>
    <w:rsid w:val="00EF5869"/>
    <w:rsid w:val="00F1655F"/>
    <w:rsid w:val="00F57FD4"/>
    <w:rsid w:val="00F938C6"/>
    <w:rsid w:val="00F9435A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0636"/>
    <w:pPr>
      <w:spacing w:line="276" w:lineRule="auto"/>
      <w:ind w:left="720"/>
      <w:contextualSpacing/>
    </w:pPr>
    <w:rPr>
      <w:rFonts w:eastAsiaTheme="minorEastAsia" w:cstheme="minorBidi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10636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table" w:styleId="TableGrid">
    <w:name w:val="Table Grid"/>
    <w:basedOn w:val="LightShading-Accent1"/>
    <w:uiPriority w:val="99"/>
    <w:rsid w:val="0091063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91063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910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10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106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9106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0636"/>
    <w:pPr>
      <w:spacing w:line="276" w:lineRule="auto"/>
      <w:ind w:left="720"/>
      <w:contextualSpacing/>
    </w:pPr>
    <w:rPr>
      <w:rFonts w:eastAsiaTheme="minorEastAsia" w:cstheme="minorBidi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10636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table" w:styleId="TableGrid">
    <w:name w:val="Table Grid"/>
    <w:basedOn w:val="LightShading-Accent1"/>
    <w:uiPriority w:val="99"/>
    <w:rsid w:val="0091063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91063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910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10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106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9106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viewer.microguide.global/guide/10000002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2214</Words>
  <Characters>12078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14264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Nicky Ashton</cp:lastModifiedBy>
  <cp:revision>2</cp:revision>
  <cp:lastPrinted>2021-02-15T11:57:00Z</cp:lastPrinted>
  <dcterms:created xsi:type="dcterms:W3CDTF">2021-11-11T12:34:00Z</dcterms:created>
  <dcterms:modified xsi:type="dcterms:W3CDTF">2021-11-11T12:34:00Z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